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0D2137"/>
        </w:rPr>
        <w:t>SWOT Analysis</w:t>
      </w:r>
    </w:p>
    <w:p>
      <w:r>
        <w:rPr>
          <w:color w:val="0E9E76"/>
          <w:sz w:val="22"/>
        </w:rPr>
        <w:t>City of Cedar Bay</w:t>
      </w:r>
    </w:p>
    <w:p>
      <w:pPr>
        <w:pStyle w:val="Heading1"/>
      </w:pPr>
      <w:r>
        <w:t>Strengths</w:t>
      </w:r>
    </w:p>
    <w:p>
      <w:pPr>
        <w:pStyle w:val="ListBullet"/>
      </w:pPr>
      <w:r>
        <w:t>National Heritage Designation site — 50K visitors</w:t>
      </w:r>
    </w:p>
    <w:p>
      <w:pPr>
        <w:pStyle w:val="ListBullet"/>
      </w:pPr>
      <w:r>
        <w:t>Direct coastal highway to the regional port</w:t>
      </w:r>
    </w:p>
    <w:p>
      <w:pPr>
        <w:pStyle w:val="ListBullet"/>
      </w:pPr>
      <w:r>
        <w:t>Strong diaspora network — ~8,000 expats</w:t>
      </w:r>
    </w:p>
    <w:p>
      <w:pPr>
        <w:pStyle w:val="Heading1"/>
      </w:pPr>
      <w:r>
        <w:t>Weaknesses</w:t>
      </w:r>
    </w:p>
    <w:p>
      <w:pPr>
        <w:pStyle w:val="ListBullet"/>
      </w:pPr>
      <w:r>
        <w:t>Youth unemployment at 34%</w:t>
      </w:r>
    </w:p>
    <w:p>
      <w:pPr>
        <w:pStyle w:val="ListBullet"/>
      </w:pPr>
      <w:r>
        <w:t>No industrial zone or digital skills center</w:t>
      </w:r>
    </w:p>
    <w:p>
      <w:pPr>
        <w:pStyle w:val="ListBullet"/>
      </w:pPr>
      <w:r>
        <w:t>Seasonal tourism only — 4 months/year</w:t>
      </w:r>
    </w:p>
    <w:p>
      <w:pPr>
        <w:pStyle w:val="Heading1"/>
      </w:pPr>
      <w:r>
        <w:t>Opportunities</w:t>
      </w:r>
    </w:p>
    <w:p>
      <w:pPr>
        <w:pStyle w:val="ListBullet"/>
      </w:pPr>
      <w:r>
        <w:t>Regional Development Fund (RDF) open call — closes in 23 days</w:t>
      </w:r>
    </w:p>
    <w:p>
      <w:pPr>
        <w:pStyle w:val="ListBullet"/>
      </w:pPr>
      <w:r>
        <w:t>Digital Economy Skills Initiative accepting applications</w:t>
      </w:r>
    </w:p>
    <w:p>
      <w:pPr>
        <w:pStyle w:val="ListBullet"/>
      </w:pPr>
      <w:r>
        <w:t>Diaspora investment interest in heritage</w:t>
      </w:r>
    </w:p>
    <w:p>
      <w:pPr>
        <w:pStyle w:val="Heading1"/>
      </w:pPr>
      <w:r>
        <w:t>Threats</w:t>
      </w:r>
    </w:p>
    <w:p>
      <w:pPr>
        <w:pStyle w:val="ListBullet"/>
      </w:pPr>
      <w:r>
        <w:t>Youth emigration accelerating post-2020</w:t>
      </w:r>
    </w:p>
    <w:p>
      <w:pPr>
        <w:pStyle w:val="ListBullet"/>
      </w:pPr>
      <w:r>
        <w:t>Neighbouring city competing for the same regional tourism grant</w:t>
      </w:r>
    </w:p>
    <w:p>
      <w:pPr>
        <w:pStyle w:val="ListBullet"/>
      </w:pPr>
      <w:r>
        <w:t>Climate: coastal erosion risk increasing</w:t>
      </w:r>
    </w:p>
    <w:p/>
    <w:p>
      <w:r>
        <w:rPr>
          <w:color w:val="94A3B8"/>
          <w:sz w:val="16"/>
        </w:rPr>
        <w:t>Illustrative sample generated from a fictional demonstration municipality ("Cedar Bay"). Names, data, and content are for demonstration only.</w:t>
      </w:r>
    </w:p>
    <w:p>
      <w:r>
        <w:rPr>
          <w:color w:val="94A3B8"/>
          <w:sz w:val="16"/>
        </w:rPr>
        <w:t>Generated by MuniGrowth — munigrowth.com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