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color w:val="0B6E4F"/>
        </w:rPr>
        <w:t>Heritage Tourism Infrastructure Upgrade</w:t>
      </w:r>
    </w:p>
    <w:p>
      <w:pPr>
        <w:jc w:val="center"/>
      </w:pPr>
      <w:r>
        <w:rPr>
          <w:color w:val="6C757D"/>
          <w:sz w:val="22"/>
        </w:rPr>
        <w:t>Mediterranean Regional Development Fund · May 2026</w:t>
      </w:r>
    </w:p>
    <w:p>
      <w:pPr>
        <w:jc w:val="center"/>
      </w:pPr>
      <w:r>
        <w:rPr>
          <w:color w:val="6C757D"/>
          <w:sz w:val="18"/>
        </w:rPr>
        <w:t>City of Cedar Bay · GRANT APPLICATION PROPOSAL · MG-CB-PR-2026-001 · 15 May 2026</w:t>
      </w:r>
    </w:p>
    <w:p/>
    <w:p>
      <w:pPr>
        <w:pStyle w:val="Heading1"/>
      </w:pPr>
      <w:r>
        <w:rPr>
          <w:color w:val="0B6E4F"/>
          <w:sz w:val="28"/>
        </w:rPr>
        <w:t>00  Executive Summary</w:t>
      </w:r>
    </w:p>
    <w:tbl>
      <w:tblPr>
        <w:tblStyle w:val="TableGrid"/>
        <w:tblW w:type="auto" w:w="0"/>
        <w:jc w:val="left"/>
        <w:tblLook w:firstColumn="1" w:firstRow="1" w:lastColumn="0" w:lastRow="0" w:noHBand="0" w:noVBand="1" w:val="04A0"/>
      </w:tblPr>
      <w:tblGrid>
        <w:gridCol w:w="4320"/>
        <w:gridCol w:w="4320"/>
      </w:tblGrid>
      <w:tr>
        <w:tc>
          <w:tcPr>
            <w:tcW w:type="dxa" w:w="4320"/>
            <w:shd w:fill="0B6E4F"/>
          </w:tcPr>
          <w:p>
            <w:r>
              <w:rPr>
                <w:b/>
                <w:color w:val="FFFFFF"/>
              </w:rPr>
              <w:t>Metric</w:t>
            </w:r>
          </w:p>
        </w:tc>
        <w:tc>
          <w:tcPr>
            <w:tcW w:type="dxa" w:w="4320"/>
            <w:shd w:fill="0B6E4F"/>
          </w:tcPr>
          <w:p>
            <w:r>
              <w:rPr>
                <w:b/>
                <w:color w:val="FFFFFF"/>
              </w:rPr>
              <w:t>Value</w:t>
            </w:r>
          </w:p>
        </w:tc>
      </w:tr>
      <w:tr>
        <w:tc>
          <w:tcPr>
            <w:tcW w:type="dxa" w:w="4320"/>
          </w:tcPr>
          <w:p>
            <w:r>
              <w:rPr>
                <w:sz w:val="20"/>
              </w:rPr>
              <w:t>Total Budget</w:t>
            </w:r>
          </w:p>
        </w:tc>
        <w:tc>
          <w:tcPr>
            <w:tcW w:type="dxa" w:w="4320"/>
          </w:tcPr>
          <w:p>
            <w:r>
              <w:rPr>
                <w:sz w:val="20"/>
              </w:rPr>
              <w:t>$420,000</w:t>
            </w:r>
          </w:p>
        </w:tc>
      </w:tr>
      <w:tr>
        <w:tc>
          <w:tcPr>
            <w:tcW w:type="dxa" w:w="4320"/>
          </w:tcPr>
          <w:p>
            <w:r>
              <w:rPr>
                <w:sz w:val="20"/>
              </w:rPr>
              <w:t>Funding Requested</w:t>
            </w:r>
          </w:p>
        </w:tc>
        <w:tc>
          <w:tcPr>
            <w:tcW w:type="dxa" w:w="4320"/>
          </w:tcPr>
          <w:p>
            <w:r>
              <w:rPr>
                <w:sz w:val="20"/>
              </w:rPr>
              <w:t>$345,000</w:t>
            </w:r>
          </w:p>
        </w:tc>
      </w:tr>
      <w:tr>
        <w:tc>
          <w:tcPr>
            <w:tcW w:type="dxa" w:w="4320"/>
          </w:tcPr>
          <w:p>
            <w:r>
              <w:rPr>
                <w:sz w:val="20"/>
              </w:rPr>
              <w:t>Duration</w:t>
            </w:r>
          </w:p>
        </w:tc>
        <w:tc>
          <w:tcPr>
            <w:tcW w:type="dxa" w:w="4320"/>
          </w:tcPr>
          <w:p>
            <w:r>
              <w:rPr>
                <w:sz w:val="20"/>
              </w:rPr>
              <w:t>18 mo.</w:t>
            </w:r>
          </w:p>
        </w:tc>
      </w:tr>
      <w:tr>
        <w:tc>
          <w:tcPr>
            <w:tcW w:type="dxa" w:w="4320"/>
          </w:tcPr>
          <w:p>
            <w:r>
              <w:rPr>
                <w:sz w:val="20"/>
              </w:rPr>
              <w:t>Youth Beneficiaries</w:t>
            </w:r>
          </w:p>
        </w:tc>
        <w:tc>
          <w:tcPr>
            <w:tcW w:type="dxa" w:w="4320"/>
          </w:tcPr>
          <w:p>
            <w:r>
              <w:rPr>
                <w:sz w:val="20"/>
              </w:rPr>
              <w:t>2,400</w:t>
            </w:r>
          </w:p>
        </w:tc>
      </w:tr>
    </w:tbl>
    <w:p/>
    <w:p>
      <w:r>
        <w:t>Cedar Bay requests $345,000 from the Mediterranean Regional Development Fund to upgrade heritage tourism infrastructure, extend the visitor season beyond four months, and create formal employment pathways for 2,400 youth currently without structured training or placement support.</w:t>
      </w:r>
    </w:p>
    <w:p>
      <w:r>
        <w:t>The proposal aligns with RDF heritage tourism priorities, municipal LED Plan 2026–2030 Priority 2, and stakeholder consensus from 127 participants consulted in Q1 2026. Municipal co-financing of $75,000 (18%) is committed; co-benefits include coastal resilience and youth employment targets required to close the single eligibility gap identified in grant matching.</w:t>
      </w:r>
    </w:p>
    <w:p>
      <w:r>
        <w:rPr>
          <w:b/>
          <w:color w:val="0B6E4F"/>
          <w:sz w:val="20"/>
        </w:rPr>
        <w:t xml:space="preserve">Recommended action: </w:t>
      </w:r>
      <w:r>
        <w:rPr>
          <w:sz w:val="20"/>
        </w:rPr>
        <w:t>Submit within 23 days — RDF heritage tourism window closes 15 June 2026. Align narrative to coastal resilience and youth co-benefits to meet eligibility criteria.</w:t>
      </w:r>
    </w:p>
    <w:p>
      <w:pPr>
        <w:pStyle w:val="Heading1"/>
      </w:pPr>
      <w:r>
        <w:rPr>
          <w:color w:val="0B6E4F"/>
          <w:sz w:val="28"/>
        </w:rPr>
        <w:t>01  Background &amp; Needs Justification</w:t>
      </w:r>
    </w:p>
    <w:p>
      <w:pPr>
        <w:pStyle w:val="Heading2"/>
      </w:pPr>
      <w:r>
        <w:rPr>
          <w:color w:val="0B6E4F"/>
          <w:sz w:val="24"/>
        </w:rPr>
        <w:t>Municipal economic context</w:t>
      </w:r>
    </w:p>
    <w:p>
      <w:r>
        <w:t>Cedar Bay (population 24,800) derives 42% of formal employment from heritage tourism, yet visitor volumes remain concentrated in a four-month peak season. Youth unemployment among ages 18–29 stands at 34% — 12 percentage points above the regional average. Infrastructure gaps include unpaved heritage access roads, limited year-round visitor facilities, and no integrated digital visitor experience.</w:t>
      </w:r>
    </w:p>
    <w:p>
      <w:pPr>
        <w:pStyle w:val="Heading2"/>
      </w:pPr>
      <w:r>
        <w:rPr>
          <w:color w:val="0B6E4F"/>
          <w:sz w:val="24"/>
        </w:rPr>
        <w:t>Evidence base</w:t>
      </w:r>
    </w:p>
    <w:tbl>
      <w:tblPr>
        <w:tblStyle w:val="TableGrid"/>
        <w:tblW w:type="auto" w:w="0"/>
        <w:jc w:val="left"/>
        <w:tblLook w:firstColumn="1" w:firstRow="1" w:lastColumn="0" w:lastRow="0" w:noHBand="0" w:noVBand="1" w:val="04A0"/>
      </w:tblPr>
      <w:tblGrid>
        <w:gridCol w:w="2160"/>
        <w:gridCol w:w="2160"/>
        <w:gridCol w:w="2160"/>
        <w:gridCol w:w="2160"/>
      </w:tblGrid>
      <w:tr>
        <w:tc>
          <w:tcPr>
            <w:tcW w:type="dxa" w:w="2160"/>
            <w:shd w:fill="0B6E4F"/>
          </w:tcPr>
          <w:p>
            <w:r>
              <w:rPr>
                <w:b/>
                <w:color w:val="FFFFFF"/>
              </w:rPr>
              <w:t>Indicator</w:t>
            </w:r>
          </w:p>
        </w:tc>
        <w:tc>
          <w:tcPr>
            <w:tcW w:type="dxa" w:w="2160"/>
            <w:shd w:fill="0B6E4F"/>
          </w:tcPr>
          <w:p>
            <w:r>
              <w:rPr>
                <w:b/>
                <w:color w:val="FFFFFF"/>
              </w:rPr>
              <w:t>Cedar Bay</w:t>
            </w:r>
          </w:p>
        </w:tc>
        <w:tc>
          <w:tcPr>
            <w:tcW w:type="dxa" w:w="2160"/>
            <w:shd w:fill="0B6E4F"/>
          </w:tcPr>
          <w:p>
            <w:r>
              <w:rPr>
                <w:b/>
                <w:color w:val="FFFFFF"/>
              </w:rPr>
              <w:t>Regional avg.</w:t>
            </w:r>
          </w:p>
        </w:tc>
        <w:tc>
          <w:tcPr>
            <w:tcW w:type="dxa" w:w="2160"/>
            <w:shd w:fill="0B6E4F"/>
          </w:tcPr>
          <w:p>
            <w:r>
              <w:rPr>
                <w:b/>
                <w:color w:val="FFFFFF"/>
              </w:rPr>
              <w:t>Gap</w:t>
            </w:r>
          </w:p>
        </w:tc>
      </w:tr>
      <w:tr>
        <w:tc>
          <w:tcPr>
            <w:tcW w:type="dxa" w:w="2160"/>
          </w:tcPr>
          <w:p>
            <w:r>
              <w:rPr>
                <w:sz w:val="20"/>
              </w:rPr>
              <w:t>Employment rate</w:t>
            </w:r>
          </w:p>
        </w:tc>
        <w:tc>
          <w:tcPr>
            <w:tcW w:type="dxa" w:w="2160"/>
          </w:tcPr>
          <w:p>
            <w:r>
              <w:rPr>
                <w:sz w:val="20"/>
              </w:rPr>
              <w:t>61%</w:t>
            </w:r>
          </w:p>
        </w:tc>
        <w:tc>
          <w:tcPr>
            <w:tcW w:type="dxa" w:w="2160"/>
          </w:tcPr>
          <w:p>
            <w:r>
              <w:rPr>
                <w:sz w:val="20"/>
              </w:rPr>
              <w:t>73%</w:t>
            </w:r>
          </w:p>
        </w:tc>
        <w:tc>
          <w:tcPr>
            <w:tcW w:type="dxa" w:w="2160"/>
          </w:tcPr>
          <w:p>
            <w:r>
              <w:rPr>
                <w:sz w:val="20"/>
              </w:rPr>
              <w:t>-12 pp</w:t>
            </w:r>
          </w:p>
        </w:tc>
      </w:tr>
      <w:tr>
        <w:tc>
          <w:tcPr>
            <w:tcW w:type="dxa" w:w="2160"/>
          </w:tcPr>
          <w:p>
            <w:r>
              <w:rPr>
                <w:sz w:val="20"/>
              </w:rPr>
              <w:t>Youth unemployment (18–29)</w:t>
            </w:r>
          </w:p>
        </w:tc>
        <w:tc>
          <w:tcPr>
            <w:tcW w:type="dxa" w:w="2160"/>
          </w:tcPr>
          <w:p>
            <w:r>
              <w:rPr>
                <w:sz w:val="20"/>
              </w:rPr>
              <w:t>34%</w:t>
            </w:r>
          </w:p>
        </w:tc>
        <w:tc>
          <w:tcPr>
            <w:tcW w:type="dxa" w:w="2160"/>
          </w:tcPr>
          <w:p>
            <w:r>
              <w:rPr>
                <w:sz w:val="20"/>
              </w:rPr>
              <w:t>22%</w:t>
            </w:r>
          </w:p>
        </w:tc>
        <w:tc>
          <w:tcPr>
            <w:tcW w:type="dxa" w:w="2160"/>
          </w:tcPr>
          <w:p>
            <w:r>
              <w:rPr>
                <w:sz w:val="20"/>
              </w:rPr>
              <w:t>+12 pp</w:t>
            </w:r>
          </w:p>
        </w:tc>
      </w:tr>
      <w:tr>
        <w:tc>
          <w:tcPr>
            <w:tcW w:type="dxa" w:w="2160"/>
          </w:tcPr>
          <w:p>
            <w:r>
              <w:rPr>
                <w:sz w:val="20"/>
              </w:rPr>
              <w:t>Tourism contribution</w:t>
            </w:r>
          </w:p>
        </w:tc>
        <w:tc>
          <w:tcPr>
            <w:tcW w:type="dxa" w:w="2160"/>
          </w:tcPr>
          <w:p>
            <w:r>
              <w:rPr>
                <w:sz w:val="20"/>
              </w:rPr>
              <w:t>42%</w:t>
            </w:r>
          </w:p>
        </w:tc>
        <w:tc>
          <w:tcPr>
            <w:tcW w:type="dxa" w:w="2160"/>
          </w:tcPr>
          <w:p>
            <w:r>
              <w:rPr>
                <w:sz w:val="20"/>
              </w:rPr>
              <w:t>28%</w:t>
            </w:r>
          </w:p>
        </w:tc>
        <w:tc>
          <w:tcPr>
            <w:tcW w:type="dxa" w:w="2160"/>
          </w:tcPr>
          <w:p>
            <w:r>
              <w:rPr>
                <w:sz w:val="20"/>
              </w:rPr>
              <w:t>+14 pp</w:t>
            </w:r>
          </w:p>
        </w:tc>
      </w:tr>
      <w:tr>
        <w:tc>
          <w:tcPr>
            <w:tcW w:type="dxa" w:w="2160"/>
          </w:tcPr>
          <w:p>
            <w:r>
              <w:rPr>
                <w:sz w:val="20"/>
              </w:rPr>
              <w:t>Heritage visitors (annual)</w:t>
            </w:r>
          </w:p>
        </w:tc>
        <w:tc>
          <w:tcPr>
            <w:tcW w:type="dxa" w:w="2160"/>
          </w:tcPr>
          <w:p>
            <w:r>
              <w:rPr>
                <w:sz w:val="20"/>
              </w:rPr>
              <w:t>50,000</w:t>
            </w:r>
          </w:p>
        </w:tc>
        <w:tc>
          <w:tcPr>
            <w:tcW w:type="dxa" w:w="2160"/>
          </w:tcPr>
          <w:p>
            <w:r>
              <w:rPr>
                <w:sz w:val="20"/>
              </w:rPr>
              <w:t>—</w:t>
            </w:r>
          </w:p>
        </w:tc>
        <w:tc>
          <w:tcPr>
            <w:tcW w:type="dxa" w:w="2160"/>
          </w:tcPr>
          <w:p>
            <w:r>
              <w:rPr>
                <w:sz w:val="20"/>
              </w:rPr>
              <w:t>—</w:t>
            </w:r>
          </w:p>
        </w:tc>
      </w:tr>
    </w:tbl>
    <w:p/>
    <w:p>
      <w:r>
        <w:t>Needs assessment (Q1 2026) ranked heritage tourism infrastructure as Priority 2 (urgency score 85/100) with an active RDF funding window. Stakeholder consultations identified seasonal income volatility and youth unemployment as the two highest-priority concerns requiring donor co-investment.</w:t>
      </w:r>
    </w:p>
    <w:p>
      <w:pPr>
        <w:pStyle w:val="Heading1"/>
      </w:pPr>
      <w:r>
        <w:rPr>
          <w:color w:val="0B6E4F"/>
          <w:sz w:val="28"/>
        </w:rPr>
        <w:t>02  Objectives &amp; Expected Results</w:t>
      </w:r>
    </w:p>
    <w:p>
      <w:pPr>
        <w:pStyle w:val="Heading2"/>
      </w:pPr>
      <w:r>
        <w:rPr>
          <w:color w:val="0B6E4F"/>
          <w:sz w:val="24"/>
        </w:rPr>
        <w:t>Project objective</w:t>
      </w:r>
    </w:p>
    <w:p>
      <w:r>
        <w:t>Upgrade heritage tourism infrastructure to extend year-round visitor engagement, create 150 direct and indirect formal jobs, engage 2,400 youth in vendor and programming pathways, and reduce youth unemployment from 34% toward 28% within three years of project completion.</w:t>
      </w:r>
    </w:p>
    <w:p>
      <w:pPr>
        <w:pStyle w:val="Heading2"/>
      </w:pPr>
      <w:r>
        <w:rPr>
          <w:color w:val="0B6E4F"/>
          <w:sz w:val="24"/>
        </w:rPr>
        <w:t>Expected results</w:t>
      </w:r>
    </w:p>
    <w:tbl>
      <w:tblPr>
        <w:tblStyle w:val="TableGrid"/>
        <w:tblW w:type="auto" w:w="0"/>
        <w:jc w:val="left"/>
        <w:tblLook w:firstColumn="1" w:firstRow="1" w:lastColumn="0" w:lastRow="0" w:noHBand="0" w:noVBand="1" w:val="04A0"/>
      </w:tblPr>
      <w:tblGrid>
        <w:gridCol w:w="2160"/>
        <w:gridCol w:w="2160"/>
        <w:gridCol w:w="2160"/>
        <w:gridCol w:w="2160"/>
      </w:tblGrid>
      <w:tr>
        <w:tc>
          <w:tcPr>
            <w:tcW w:type="dxa" w:w="2160"/>
            <w:shd w:fill="0B6E4F"/>
          </w:tcPr>
          <w:p>
            <w:r>
              <w:rPr>
                <w:b/>
                <w:color w:val="FFFFFF"/>
              </w:rPr>
              <w:t>Level</w:t>
            </w:r>
          </w:p>
        </w:tc>
        <w:tc>
          <w:tcPr>
            <w:tcW w:type="dxa" w:w="2160"/>
            <w:shd w:fill="0B6E4F"/>
          </w:tcPr>
          <w:p>
            <w:r>
              <w:rPr>
                <w:b/>
                <w:color w:val="FFFFFF"/>
              </w:rPr>
              <w:t>Statement</w:t>
            </w:r>
          </w:p>
        </w:tc>
        <w:tc>
          <w:tcPr>
            <w:tcW w:type="dxa" w:w="2160"/>
            <w:shd w:fill="0B6E4F"/>
          </w:tcPr>
          <w:p>
            <w:r>
              <w:rPr>
                <w:b/>
                <w:color w:val="FFFFFF"/>
              </w:rPr>
              <w:t>Indicator</w:t>
            </w:r>
          </w:p>
        </w:tc>
        <w:tc>
          <w:tcPr>
            <w:tcW w:type="dxa" w:w="2160"/>
            <w:shd w:fill="0B6E4F"/>
          </w:tcPr>
          <w:p>
            <w:r>
              <w:rPr>
                <w:b/>
                <w:color w:val="FFFFFF"/>
              </w:rPr>
              <w:t>Target</w:t>
            </w:r>
          </w:p>
        </w:tc>
      </w:tr>
      <w:tr>
        <w:tc>
          <w:tcPr>
            <w:tcW w:type="dxa" w:w="2160"/>
          </w:tcPr>
          <w:p>
            <w:r>
              <w:rPr>
                <w:sz w:val="20"/>
              </w:rPr>
              <w:t>Impact</w:t>
            </w:r>
          </w:p>
        </w:tc>
        <w:tc>
          <w:tcPr>
            <w:tcW w:type="dxa" w:w="2160"/>
          </w:tcPr>
          <w:p>
            <w:r>
              <w:rPr>
                <w:sz w:val="20"/>
              </w:rPr>
              <w:t>Sustained heritage-led prosperity</w:t>
            </w:r>
          </w:p>
        </w:tc>
        <w:tc>
          <w:tcPr>
            <w:tcW w:type="dxa" w:w="2160"/>
          </w:tcPr>
          <w:p>
            <w:r>
              <w:rPr>
                <w:sz w:val="20"/>
              </w:rPr>
              <w:t>Youth unemployment rate</w:t>
            </w:r>
          </w:p>
        </w:tc>
        <w:tc>
          <w:tcPr>
            <w:tcW w:type="dxa" w:w="2160"/>
          </w:tcPr>
          <w:p>
            <w:r>
              <w:rPr>
                <w:sz w:val="20"/>
              </w:rPr>
              <w:t>28% by 2029</w:t>
            </w:r>
          </w:p>
        </w:tc>
      </w:tr>
      <w:tr>
        <w:tc>
          <w:tcPr>
            <w:tcW w:type="dxa" w:w="2160"/>
          </w:tcPr>
          <w:p>
            <w:r>
              <w:rPr>
                <w:sz w:val="20"/>
              </w:rPr>
              <w:t>Outcome</w:t>
            </w:r>
          </w:p>
        </w:tc>
        <w:tc>
          <w:tcPr>
            <w:tcW w:type="dxa" w:w="2160"/>
          </w:tcPr>
          <w:p>
            <w:r>
              <w:rPr>
                <w:sz w:val="20"/>
              </w:rPr>
              <w:t>Youth engaged in heritage economy pathways</w:t>
            </w:r>
          </w:p>
        </w:tc>
        <w:tc>
          <w:tcPr>
            <w:tcW w:type="dxa" w:w="2160"/>
          </w:tcPr>
          <w:p>
            <w:r>
              <w:rPr>
                <w:sz w:val="20"/>
              </w:rPr>
              <w:t>Youth programme beneficiaries</w:t>
            </w:r>
          </w:p>
        </w:tc>
        <w:tc>
          <w:tcPr>
            <w:tcW w:type="dxa" w:w="2160"/>
          </w:tcPr>
          <w:p>
            <w:r>
              <w:rPr>
                <w:sz w:val="20"/>
              </w:rPr>
              <w:t>2,400</w:t>
            </w:r>
          </w:p>
        </w:tc>
      </w:tr>
      <w:tr>
        <w:tc>
          <w:tcPr>
            <w:tcW w:type="dxa" w:w="2160"/>
          </w:tcPr>
          <w:p>
            <w:r>
              <w:rPr>
                <w:sz w:val="20"/>
              </w:rPr>
              <w:t>Outcome</w:t>
            </w:r>
          </w:p>
        </w:tc>
        <w:tc>
          <w:tcPr>
            <w:tcW w:type="dxa" w:w="2160"/>
          </w:tcPr>
          <w:p>
            <w:r>
              <w:rPr>
                <w:sz w:val="20"/>
              </w:rPr>
              <w:t>Year-round tourism employment</w:t>
            </w:r>
          </w:p>
        </w:tc>
        <w:tc>
          <w:tcPr>
            <w:tcW w:type="dxa" w:w="2160"/>
          </w:tcPr>
          <w:p>
            <w:r>
              <w:rPr>
                <w:sz w:val="20"/>
              </w:rPr>
              <w:t>Season extension (months)</w:t>
            </w:r>
          </w:p>
        </w:tc>
        <w:tc>
          <w:tcPr>
            <w:tcW w:type="dxa" w:w="2160"/>
          </w:tcPr>
          <w:p>
            <w:r>
              <w:rPr>
                <w:sz w:val="20"/>
              </w:rPr>
              <w:t>8+ months</w:t>
            </w:r>
          </w:p>
        </w:tc>
      </w:tr>
      <w:tr>
        <w:tc>
          <w:tcPr>
            <w:tcW w:type="dxa" w:w="2160"/>
          </w:tcPr>
          <w:p>
            <w:r>
              <w:rPr>
                <w:sz w:val="20"/>
              </w:rPr>
              <w:t>Output</w:t>
            </w:r>
          </w:p>
        </w:tc>
        <w:tc>
          <w:tcPr>
            <w:tcW w:type="dxa" w:w="2160"/>
          </w:tcPr>
          <w:p>
            <w:r>
              <w:rPr>
                <w:sz w:val="20"/>
              </w:rPr>
              <w:t>Upgraded visitor facilities</w:t>
            </w:r>
          </w:p>
        </w:tc>
        <w:tc>
          <w:tcPr>
            <w:tcW w:type="dxa" w:w="2160"/>
          </w:tcPr>
          <w:p>
            <w:r>
              <w:rPr>
                <w:sz w:val="20"/>
              </w:rPr>
              <w:t>Sites operational</w:t>
            </w:r>
          </w:p>
        </w:tc>
        <w:tc>
          <w:tcPr>
            <w:tcW w:type="dxa" w:w="2160"/>
          </w:tcPr>
          <w:p>
            <w:r>
              <w:rPr>
                <w:sz w:val="20"/>
              </w:rPr>
              <w:t>3 sites by Q4 2027</w:t>
            </w:r>
          </w:p>
        </w:tc>
      </w:tr>
      <w:tr>
        <w:tc>
          <w:tcPr>
            <w:tcW w:type="dxa" w:w="2160"/>
          </w:tcPr>
          <w:p>
            <w:r>
              <w:rPr>
                <w:sz w:val="20"/>
              </w:rPr>
              <w:t>Output</w:t>
            </w:r>
          </w:p>
        </w:tc>
        <w:tc>
          <w:tcPr>
            <w:tcW w:type="dxa" w:w="2160"/>
          </w:tcPr>
          <w:p>
            <w:r>
              <w:rPr>
                <w:sz w:val="20"/>
              </w:rPr>
              <w:t>Heritage access road paved</w:t>
            </w:r>
          </w:p>
        </w:tc>
        <w:tc>
          <w:tcPr>
            <w:tcW w:type="dxa" w:w="2160"/>
          </w:tcPr>
          <w:p>
            <w:r>
              <w:rPr>
                <w:sz w:val="20"/>
              </w:rPr>
              <w:t>Road length completed</w:t>
            </w:r>
          </w:p>
        </w:tc>
        <w:tc>
          <w:tcPr>
            <w:tcW w:type="dxa" w:w="2160"/>
          </w:tcPr>
          <w:p>
            <w:r>
              <w:rPr>
                <w:sz w:val="20"/>
              </w:rPr>
              <w:t>2.4 km</w:t>
            </w:r>
          </w:p>
        </w:tc>
      </w:tr>
    </w:tbl>
    <w:p/>
    <w:p>
      <w:pPr>
        <w:pStyle w:val="Heading2"/>
      </w:pPr>
      <w:r>
        <w:rPr>
          <w:color w:val="0B6E4F"/>
          <w:sz w:val="24"/>
        </w:rPr>
        <w:t>Alignment with LED strategic goals</w:t>
      </w:r>
    </w:p>
    <w:p>
      <w:pPr>
        <w:pStyle w:val="ListBullet"/>
      </w:pPr>
      <w:r>
        <w:t>Priority 2 — Heritage Tourism Infrastructure (Projects 2, 4, 8 in Cedar Bay LED Plan 2026–2030).</w:t>
      </w:r>
    </w:p>
    <w:p>
      <w:pPr>
        <w:pStyle w:val="ListBullet"/>
      </w:pPr>
      <w:r>
        <w:t>Vision target: year-round tourism employment share above 55% by 2030.</w:t>
      </w:r>
    </w:p>
    <w:p>
      <w:pPr>
        <w:pStyle w:val="ListBullet"/>
      </w:pPr>
      <w:r>
        <w:t>Cross-cutting: minimum 40% women beneficiaries in vendor and programming roles.</w:t>
      </w:r>
    </w:p>
    <w:p>
      <w:pPr>
        <w:pStyle w:val="Heading1"/>
      </w:pPr>
      <w:r>
        <w:rPr>
          <w:color w:val="0B6E4F"/>
          <w:sz w:val="28"/>
        </w:rPr>
        <w:t>03  Activities &amp; Implementation Plan</w:t>
      </w:r>
    </w:p>
    <w:p>
      <w:pPr>
        <w:pStyle w:val="Heading2"/>
      </w:pPr>
      <w:r>
        <w:rPr>
          <w:color w:val="0B6E4F"/>
          <w:sz w:val="24"/>
        </w:rPr>
        <w:t>Work packages</w:t>
      </w:r>
    </w:p>
    <w:tbl>
      <w:tblPr>
        <w:tblStyle w:val="TableGrid"/>
        <w:tblW w:type="auto" w:w="0"/>
        <w:jc w:val="left"/>
        <w:tblLook w:firstColumn="1" w:firstRow="1" w:lastColumn="0" w:lastRow="0" w:noHBand="0" w:noVBand="1" w:val="04A0"/>
      </w:tblPr>
      <w:tblGrid>
        <w:gridCol w:w="2160"/>
        <w:gridCol w:w="2160"/>
        <w:gridCol w:w="2160"/>
        <w:gridCol w:w="2160"/>
      </w:tblGrid>
      <w:tr>
        <w:tc>
          <w:tcPr>
            <w:tcW w:type="dxa" w:w="2160"/>
            <w:shd w:fill="0B6E4F"/>
          </w:tcPr>
          <w:p>
            <w:r>
              <w:rPr>
                <w:b/>
                <w:color w:val="FFFFFF"/>
              </w:rPr>
              <w:t>#</w:t>
            </w:r>
          </w:p>
        </w:tc>
        <w:tc>
          <w:tcPr>
            <w:tcW w:type="dxa" w:w="2160"/>
            <w:shd w:fill="0B6E4F"/>
          </w:tcPr>
          <w:p>
            <w:r>
              <w:rPr>
                <w:b/>
                <w:color w:val="FFFFFF"/>
              </w:rPr>
              <w:t>Activity</w:t>
            </w:r>
          </w:p>
        </w:tc>
        <w:tc>
          <w:tcPr>
            <w:tcW w:type="dxa" w:w="2160"/>
            <w:shd w:fill="0B6E4F"/>
          </w:tcPr>
          <w:p>
            <w:r>
              <w:rPr>
                <w:b/>
                <w:color w:val="FFFFFF"/>
              </w:rPr>
              <w:t>Duration</w:t>
            </w:r>
          </w:p>
        </w:tc>
        <w:tc>
          <w:tcPr>
            <w:tcW w:type="dxa" w:w="2160"/>
            <w:shd w:fill="0B6E4F"/>
          </w:tcPr>
          <w:p>
            <w:r>
              <w:rPr>
                <w:b/>
                <w:color w:val="FFFFFF"/>
              </w:rPr>
              <w:t>Responsible</w:t>
            </w:r>
          </w:p>
        </w:tc>
      </w:tr>
      <w:tr>
        <w:tc>
          <w:tcPr>
            <w:tcW w:type="dxa" w:w="2160"/>
          </w:tcPr>
          <w:p>
            <w:r>
              <w:rPr>
                <w:sz w:val="20"/>
              </w:rPr>
              <w:t>1</w:t>
            </w:r>
          </w:p>
        </w:tc>
        <w:tc>
          <w:tcPr>
            <w:tcW w:type="dxa" w:w="2160"/>
          </w:tcPr>
          <w:p>
            <w:r>
              <w:rPr>
                <w:sz w:val="20"/>
              </w:rPr>
              <w:t>Visitor centre refurbishment &amp; interpretive signage</w:t>
            </w:r>
          </w:p>
        </w:tc>
        <w:tc>
          <w:tcPr>
            <w:tcW w:type="dxa" w:w="2160"/>
          </w:tcPr>
          <w:p>
            <w:r>
              <w:rPr>
                <w:sz w:val="20"/>
              </w:rPr>
              <w:t>Q2–Q3 2026</w:t>
            </w:r>
          </w:p>
        </w:tc>
        <w:tc>
          <w:tcPr>
            <w:tcW w:type="dxa" w:w="2160"/>
          </w:tcPr>
          <w:p>
            <w:r>
              <w:rPr>
                <w:sz w:val="20"/>
              </w:rPr>
              <w:t>Tourism office</w:t>
            </w:r>
          </w:p>
        </w:tc>
      </w:tr>
      <w:tr>
        <w:tc>
          <w:tcPr>
            <w:tcW w:type="dxa" w:w="2160"/>
          </w:tcPr>
          <w:p>
            <w:r>
              <w:rPr>
                <w:sz w:val="20"/>
              </w:rPr>
              <w:t>2</w:t>
            </w:r>
          </w:p>
        </w:tc>
        <w:tc>
          <w:tcPr>
            <w:tcW w:type="dxa" w:w="2160"/>
          </w:tcPr>
          <w:p>
            <w:r>
              <w:rPr>
                <w:sz w:val="20"/>
              </w:rPr>
              <w:t>Heritage access road paving (2.4 km) with drainage</w:t>
            </w:r>
          </w:p>
        </w:tc>
        <w:tc>
          <w:tcPr>
            <w:tcW w:type="dxa" w:w="2160"/>
          </w:tcPr>
          <w:p>
            <w:r>
              <w:rPr>
                <w:sz w:val="20"/>
              </w:rPr>
              <w:t>Q3–Q4 2026</w:t>
            </w:r>
          </w:p>
        </w:tc>
        <w:tc>
          <w:tcPr>
            <w:tcW w:type="dxa" w:w="2160"/>
          </w:tcPr>
          <w:p>
            <w:r>
              <w:rPr>
                <w:sz w:val="20"/>
              </w:rPr>
              <w:t>Public works</w:t>
            </w:r>
          </w:p>
        </w:tc>
      </w:tr>
      <w:tr>
        <w:tc>
          <w:tcPr>
            <w:tcW w:type="dxa" w:w="2160"/>
          </w:tcPr>
          <w:p>
            <w:r>
              <w:rPr>
                <w:sz w:val="20"/>
              </w:rPr>
              <w:t>3</w:t>
            </w:r>
          </w:p>
        </w:tc>
        <w:tc>
          <w:tcPr>
            <w:tcW w:type="dxa" w:w="2160"/>
          </w:tcPr>
          <w:p>
            <w:r>
              <w:rPr>
                <w:sz w:val="20"/>
              </w:rPr>
              <w:t>Digital heritage trail &amp; AR visitor experience</w:t>
            </w:r>
          </w:p>
        </w:tc>
        <w:tc>
          <w:tcPr>
            <w:tcW w:type="dxa" w:w="2160"/>
          </w:tcPr>
          <w:p>
            <w:r>
              <w:rPr>
                <w:sz w:val="20"/>
              </w:rPr>
              <w:t>Q4 2026–Q1 2027</w:t>
            </w:r>
          </w:p>
        </w:tc>
        <w:tc>
          <w:tcPr>
            <w:tcW w:type="dxa" w:w="2160"/>
          </w:tcPr>
          <w:p>
            <w:r>
              <w:rPr>
                <w:sz w:val="20"/>
              </w:rPr>
              <w:t>Economic dev. unit</w:t>
            </w:r>
          </w:p>
        </w:tc>
      </w:tr>
      <w:tr>
        <w:tc>
          <w:tcPr>
            <w:tcW w:type="dxa" w:w="2160"/>
          </w:tcPr>
          <w:p>
            <w:r>
              <w:rPr>
                <w:sz w:val="20"/>
              </w:rPr>
              <w:t>4</w:t>
            </w:r>
          </w:p>
        </w:tc>
        <w:tc>
          <w:tcPr>
            <w:tcW w:type="dxa" w:w="2160"/>
          </w:tcPr>
          <w:p>
            <w:r>
              <w:rPr>
                <w:sz w:val="20"/>
              </w:rPr>
              <w:t>Youth vendor spaces &amp; seasonal programming</w:t>
            </w:r>
          </w:p>
        </w:tc>
        <w:tc>
          <w:tcPr>
            <w:tcW w:type="dxa" w:w="2160"/>
          </w:tcPr>
          <w:p>
            <w:r>
              <w:rPr>
                <w:sz w:val="20"/>
              </w:rPr>
              <w:t>Q1–Q2 2027</w:t>
            </w:r>
          </w:p>
        </w:tc>
        <w:tc>
          <w:tcPr>
            <w:tcW w:type="dxa" w:w="2160"/>
          </w:tcPr>
          <w:p>
            <w:r>
              <w:rPr>
                <w:sz w:val="20"/>
              </w:rPr>
              <w:t>Stakeholder liaison</w:t>
            </w:r>
          </w:p>
        </w:tc>
      </w:tr>
      <w:tr>
        <w:tc>
          <w:tcPr>
            <w:tcW w:type="dxa" w:w="2160"/>
          </w:tcPr>
          <w:p>
            <w:r>
              <w:rPr>
                <w:sz w:val="20"/>
              </w:rPr>
              <w:t>5</w:t>
            </w:r>
          </w:p>
        </w:tc>
        <w:tc>
          <w:tcPr>
            <w:tcW w:type="dxa" w:w="2160"/>
          </w:tcPr>
          <w:p>
            <w:r>
              <w:rPr>
                <w:sz w:val="20"/>
              </w:rPr>
              <w:t>Mid-term review &amp; donor reporting</w:t>
            </w:r>
          </w:p>
        </w:tc>
        <w:tc>
          <w:tcPr>
            <w:tcW w:type="dxa" w:w="2160"/>
          </w:tcPr>
          <w:p>
            <w:r>
              <w:rPr>
                <w:sz w:val="20"/>
              </w:rPr>
              <w:t>Q3 2027</w:t>
            </w:r>
          </w:p>
        </w:tc>
        <w:tc>
          <w:tcPr>
            <w:tcW w:type="dxa" w:w="2160"/>
          </w:tcPr>
          <w:p>
            <w:r>
              <w:rPr>
                <w:sz w:val="20"/>
              </w:rPr>
              <w:t>M&amp;E officer</w:t>
            </w:r>
          </w:p>
        </w:tc>
      </w:tr>
    </w:tbl>
    <w:p/>
    <w:p>
      <w:pPr>
        <w:pStyle w:val="Heading2"/>
      </w:pPr>
      <w:r>
        <w:rPr>
          <w:color w:val="0B6E4F"/>
          <w:sz w:val="24"/>
        </w:rPr>
        <w:t>Implementation timeline</w:t>
      </w:r>
    </w:p>
    <w:tbl>
      <w:tblPr>
        <w:tblStyle w:val="TableGrid"/>
        <w:tblW w:type="auto" w:w="0"/>
        <w:jc w:val="left"/>
        <w:tblLook w:firstColumn="1" w:firstRow="1" w:lastColumn="0" w:lastRow="0" w:noHBand="0" w:noVBand="1" w:val="04A0"/>
      </w:tblPr>
      <w:tblGrid>
        <w:gridCol w:w="1234"/>
        <w:gridCol w:w="1234"/>
        <w:gridCol w:w="1234"/>
        <w:gridCol w:w="1234"/>
        <w:gridCol w:w="1234"/>
        <w:gridCol w:w="1234"/>
        <w:gridCol w:w="1234"/>
      </w:tblGrid>
      <w:tr>
        <w:tc>
          <w:tcPr>
            <w:tcW w:type="dxa" w:w="1234"/>
            <w:shd w:fill="0B6E4F"/>
          </w:tcPr>
          <w:p>
            <w:r>
              <w:rPr>
                <w:b/>
                <w:color w:val="FFFFFF"/>
              </w:rPr>
              <w:t>Activity</w:t>
            </w:r>
          </w:p>
        </w:tc>
        <w:tc>
          <w:tcPr>
            <w:tcW w:type="dxa" w:w="1234"/>
            <w:shd w:fill="0B6E4F"/>
          </w:tcPr>
          <w:p>
            <w:r>
              <w:rPr>
                <w:b/>
                <w:color w:val="FFFFFF"/>
              </w:rPr>
              <w:t>Q2'26</w:t>
            </w:r>
          </w:p>
        </w:tc>
        <w:tc>
          <w:tcPr>
            <w:tcW w:type="dxa" w:w="1234"/>
            <w:shd w:fill="0B6E4F"/>
          </w:tcPr>
          <w:p>
            <w:r>
              <w:rPr>
                <w:b/>
                <w:color w:val="FFFFFF"/>
              </w:rPr>
              <w:t>Q3'26</w:t>
            </w:r>
          </w:p>
        </w:tc>
        <w:tc>
          <w:tcPr>
            <w:tcW w:type="dxa" w:w="1234"/>
            <w:shd w:fill="0B6E4F"/>
          </w:tcPr>
          <w:p>
            <w:r>
              <w:rPr>
                <w:b/>
                <w:color w:val="FFFFFF"/>
              </w:rPr>
              <w:t>Q4'26</w:t>
            </w:r>
          </w:p>
        </w:tc>
        <w:tc>
          <w:tcPr>
            <w:tcW w:type="dxa" w:w="1234"/>
            <w:shd w:fill="0B6E4F"/>
          </w:tcPr>
          <w:p>
            <w:r>
              <w:rPr>
                <w:b/>
                <w:color w:val="FFFFFF"/>
              </w:rPr>
              <w:t>Q1'27</w:t>
            </w:r>
          </w:p>
        </w:tc>
        <w:tc>
          <w:tcPr>
            <w:tcW w:type="dxa" w:w="1234"/>
            <w:shd w:fill="0B6E4F"/>
          </w:tcPr>
          <w:p>
            <w:r>
              <w:rPr>
                <w:b/>
                <w:color w:val="FFFFFF"/>
              </w:rPr>
              <w:t>Q2'27</w:t>
            </w:r>
          </w:p>
        </w:tc>
        <w:tc>
          <w:tcPr>
            <w:tcW w:type="dxa" w:w="1234"/>
            <w:shd w:fill="0B6E4F"/>
          </w:tcPr>
          <w:p>
            <w:r>
              <w:rPr>
                <w:b/>
                <w:color w:val="FFFFFF"/>
              </w:rPr>
              <w:t>Q3'27</w:t>
            </w:r>
          </w:p>
        </w:tc>
      </w:tr>
      <w:tr>
        <w:tc>
          <w:tcPr>
            <w:tcW w:type="dxa" w:w="1234"/>
          </w:tcPr>
          <w:p>
            <w:r>
              <w:rPr>
                <w:sz w:val="20"/>
              </w:rPr>
              <w:t>Visitor centre refurbishment &amp; interpretive signage</w:t>
            </w:r>
          </w:p>
        </w:tc>
        <w:tc>
          <w:tcPr>
            <w:tcW w:type="dxa" w:w="1234"/>
          </w:tcPr>
          <w:p>
            <w:r>
              <w:rPr>
                <w:sz w:val="20"/>
              </w:rPr>
              <w:t>◆</w:t>
            </w:r>
          </w:p>
        </w:tc>
        <w:tc>
          <w:tcPr>
            <w:tcW w:type="dxa" w:w="1234"/>
          </w:tcPr>
          <w:p>
            <w:r>
              <w:rPr>
                <w:sz w:val="20"/>
              </w:rPr>
              <w:t>◆</w:t>
            </w:r>
          </w:p>
        </w:tc>
        <w:tc>
          <w:tcPr>
            <w:tcW w:type="dxa" w:w="1234"/>
          </w:tcPr>
          <w:p>
            <w:r>
              <w:rPr>
                <w:sz w:val="20"/>
              </w:rPr>
              <w:t>—</w:t>
            </w:r>
          </w:p>
        </w:tc>
        <w:tc>
          <w:tcPr>
            <w:tcW w:type="dxa" w:w="1234"/>
          </w:tcPr>
          <w:p>
            <w:r>
              <w:rPr>
                <w:sz w:val="20"/>
              </w:rPr>
              <w:t>—</w:t>
            </w:r>
          </w:p>
        </w:tc>
        <w:tc>
          <w:tcPr>
            <w:tcW w:type="dxa" w:w="1234"/>
          </w:tcPr>
          <w:p>
            <w:r>
              <w:rPr>
                <w:sz w:val="20"/>
              </w:rPr>
              <w:t>—</w:t>
            </w:r>
          </w:p>
        </w:tc>
        <w:tc>
          <w:tcPr>
            <w:tcW w:type="dxa" w:w="1234"/>
          </w:tcPr>
          <w:p>
            <w:r>
              <w:rPr>
                <w:sz w:val="20"/>
              </w:rPr>
              <w:t>—</w:t>
            </w:r>
          </w:p>
        </w:tc>
      </w:tr>
      <w:tr>
        <w:tc>
          <w:tcPr>
            <w:tcW w:type="dxa" w:w="1234"/>
          </w:tcPr>
          <w:p>
            <w:r>
              <w:rPr>
                <w:sz w:val="20"/>
              </w:rPr>
              <w:t>Heritage access road paving (2.4 km) with drainage</w:t>
            </w:r>
          </w:p>
        </w:tc>
        <w:tc>
          <w:tcPr>
            <w:tcW w:type="dxa" w:w="1234"/>
          </w:tcPr>
          <w:p>
            <w:r>
              <w:rPr>
                <w:sz w:val="20"/>
              </w:rPr>
              <w:t>—</w:t>
            </w:r>
          </w:p>
        </w:tc>
        <w:tc>
          <w:tcPr>
            <w:tcW w:type="dxa" w:w="1234"/>
          </w:tcPr>
          <w:p>
            <w:r>
              <w:rPr>
                <w:sz w:val="20"/>
              </w:rPr>
              <w:t>◆</w:t>
            </w:r>
          </w:p>
        </w:tc>
        <w:tc>
          <w:tcPr>
            <w:tcW w:type="dxa" w:w="1234"/>
          </w:tcPr>
          <w:p>
            <w:r>
              <w:rPr>
                <w:sz w:val="20"/>
              </w:rPr>
              <w:t>◆</w:t>
            </w:r>
          </w:p>
        </w:tc>
        <w:tc>
          <w:tcPr>
            <w:tcW w:type="dxa" w:w="1234"/>
          </w:tcPr>
          <w:p>
            <w:r>
              <w:rPr>
                <w:sz w:val="20"/>
              </w:rPr>
              <w:t>—</w:t>
            </w:r>
          </w:p>
        </w:tc>
        <w:tc>
          <w:tcPr>
            <w:tcW w:type="dxa" w:w="1234"/>
          </w:tcPr>
          <w:p>
            <w:r>
              <w:rPr>
                <w:sz w:val="20"/>
              </w:rPr>
              <w:t>—</w:t>
            </w:r>
          </w:p>
        </w:tc>
        <w:tc>
          <w:tcPr>
            <w:tcW w:type="dxa" w:w="1234"/>
          </w:tcPr>
          <w:p>
            <w:r>
              <w:rPr>
                <w:sz w:val="20"/>
              </w:rPr>
              <w:t>—</w:t>
            </w:r>
          </w:p>
        </w:tc>
      </w:tr>
      <w:tr>
        <w:tc>
          <w:tcPr>
            <w:tcW w:type="dxa" w:w="1234"/>
          </w:tcPr>
          <w:p>
            <w:r>
              <w:rPr>
                <w:sz w:val="20"/>
              </w:rPr>
              <w:t>Digital heritage trail &amp; AR visitor experience</w:t>
            </w:r>
          </w:p>
        </w:tc>
        <w:tc>
          <w:tcPr>
            <w:tcW w:type="dxa" w:w="1234"/>
          </w:tcPr>
          <w:p>
            <w:r>
              <w:rPr>
                <w:sz w:val="20"/>
              </w:rPr>
              <w:t>—</w:t>
            </w:r>
          </w:p>
        </w:tc>
        <w:tc>
          <w:tcPr>
            <w:tcW w:type="dxa" w:w="1234"/>
          </w:tcPr>
          <w:p>
            <w:r>
              <w:rPr>
                <w:sz w:val="20"/>
              </w:rPr>
              <w:t>—</w:t>
            </w:r>
          </w:p>
        </w:tc>
        <w:tc>
          <w:tcPr>
            <w:tcW w:type="dxa" w:w="1234"/>
          </w:tcPr>
          <w:p>
            <w:r>
              <w:rPr>
                <w:sz w:val="20"/>
              </w:rPr>
              <w:t>◆</w:t>
            </w:r>
          </w:p>
        </w:tc>
        <w:tc>
          <w:tcPr>
            <w:tcW w:type="dxa" w:w="1234"/>
          </w:tcPr>
          <w:p>
            <w:r>
              <w:rPr>
                <w:sz w:val="20"/>
              </w:rPr>
              <w:t>◆</w:t>
            </w:r>
          </w:p>
        </w:tc>
        <w:tc>
          <w:tcPr>
            <w:tcW w:type="dxa" w:w="1234"/>
          </w:tcPr>
          <w:p>
            <w:r>
              <w:rPr>
                <w:sz w:val="20"/>
              </w:rPr>
              <w:t>—</w:t>
            </w:r>
          </w:p>
        </w:tc>
        <w:tc>
          <w:tcPr>
            <w:tcW w:type="dxa" w:w="1234"/>
          </w:tcPr>
          <w:p>
            <w:r>
              <w:rPr>
                <w:sz w:val="20"/>
              </w:rPr>
              <w:t>—</w:t>
            </w:r>
          </w:p>
        </w:tc>
      </w:tr>
      <w:tr>
        <w:tc>
          <w:tcPr>
            <w:tcW w:type="dxa" w:w="1234"/>
          </w:tcPr>
          <w:p>
            <w:r>
              <w:rPr>
                <w:sz w:val="20"/>
              </w:rPr>
              <w:t>Youth vendor spaces &amp; seasonal programming</w:t>
            </w:r>
          </w:p>
        </w:tc>
        <w:tc>
          <w:tcPr>
            <w:tcW w:type="dxa" w:w="1234"/>
          </w:tcPr>
          <w:p>
            <w:r>
              <w:rPr>
                <w:sz w:val="20"/>
              </w:rPr>
              <w:t>—</w:t>
            </w:r>
          </w:p>
        </w:tc>
        <w:tc>
          <w:tcPr>
            <w:tcW w:type="dxa" w:w="1234"/>
          </w:tcPr>
          <w:p>
            <w:r>
              <w:rPr>
                <w:sz w:val="20"/>
              </w:rPr>
              <w:t>—</w:t>
            </w:r>
          </w:p>
        </w:tc>
        <w:tc>
          <w:tcPr>
            <w:tcW w:type="dxa" w:w="1234"/>
          </w:tcPr>
          <w:p>
            <w:r>
              <w:rPr>
                <w:sz w:val="20"/>
              </w:rPr>
              <w:t>—</w:t>
            </w:r>
          </w:p>
        </w:tc>
        <w:tc>
          <w:tcPr>
            <w:tcW w:type="dxa" w:w="1234"/>
          </w:tcPr>
          <w:p>
            <w:r>
              <w:rPr>
                <w:sz w:val="20"/>
              </w:rPr>
              <w:t>◆</w:t>
            </w:r>
          </w:p>
        </w:tc>
        <w:tc>
          <w:tcPr>
            <w:tcW w:type="dxa" w:w="1234"/>
          </w:tcPr>
          <w:p>
            <w:r>
              <w:rPr>
                <w:sz w:val="20"/>
              </w:rPr>
              <w:t>◆</w:t>
            </w:r>
          </w:p>
        </w:tc>
        <w:tc>
          <w:tcPr>
            <w:tcW w:type="dxa" w:w="1234"/>
          </w:tcPr>
          <w:p>
            <w:r>
              <w:rPr>
                <w:sz w:val="20"/>
              </w:rPr>
              <w:t>—</w:t>
            </w:r>
          </w:p>
        </w:tc>
      </w:tr>
      <w:tr>
        <w:tc>
          <w:tcPr>
            <w:tcW w:type="dxa" w:w="1234"/>
          </w:tcPr>
          <w:p>
            <w:r>
              <w:rPr>
                <w:sz w:val="20"/>
              </w:rPr>
              <w:t>Mid-term review &amp; donor reporting</w:t>
            </w:r>
          </w:p>
        </w:tc>
        <w:tc>
          <w:tcPr>
            <w:tcW w:type="dxa" w:w="1234"/>
          </w:tcPr>
          <w:p>
            <w:r>
              <w:rPr>
                <w:sz w:val="20"/>
              </w:rPr>
              <w:t>—</w:t>
            </w:r>
          </w:p>
        </w:tc>
        <w:tc>
          <w:tcPr>
            <w:tcW w:type="dxa" w:w="1234"/>
          </w:tcPr>
          <w:p>
            <w:r>
              <w:rPr>
                <w:sz w:val="20"/>
              </w:rPr>
              <w:t>—</w:t>
            </w:r>
          </w:p>
        </w:tc>
        <w:tc>
          <w:tcPr>
            <w:tcW w:type="dxa" w:w="1234"/>
          </w:tcPr>
          <w:p>
            <w:r>
              <w:rPr>
                <w:sz w:val="20"/>
              </w:rPr>
              <w:t>—</w:t>
            </w:r>
          </w:p>
        </w:tc>
        <w:tc>
          <w:tcPr>
            <w:tcW w:type="dxa" w:w="1234"/>
          </w:tcPr>
          <w:p>
            <w:r>
              <w:rPr>
                <w:sz w:val="20"/>
              </w:rPr>
              <w:t>—</w:t>
            </w:r>
          </w:p>
        </w:tc>
        <w:tc>
          <w:tcPr>
            <w:tcW w:type="dxa" w:w="1234"/>
          </w:tcPr>
          <w:p>
            <w:r>
              <w:rPr>
                <w:sz w:val="20"/>
              </w:rPr>
              <w:t>—</w:t>
            </w:r>
          </w:p>
        </w:tc>
        <w:tc>
          <w:tcPr>
            <w:tcW w:type="dxa" w:w="1234"/>
          </w:tcPr>
          <w:p>
            <w:r>
              <w:rPr>
                <w:sz w:val="20"/>
              </w:rPr>
              <w:t>◆</w:t>
            </w:r>
          </w:p>
        </w:tc>
      </w:tr>
    </w:tbl>
    <w:p/>
    <w:p>
      <w:r>
        <w:rPr>
          <w:b/>
          <w:color w:val="0B6E4F"/>
          <w:sz w:val="20"/>
        </w:rPr>
        <w:t xml:space="preserve">Implementation note: </w:t>
      </w:r>
      <w:r>
        <w:rPr>
          <w:sz w:val="20"/>
        </w:rPr>
        <w:t>Phased contractor milestones reduce construction delay risk. Municipal LED Steering Committee provides monthly oversight; quarterly reports submitted to RDF per grant agreement.</w:t>
      </w:r>
    </w:p>
    <w:p>
      <w:pPr>
        <w:pStyle w:val="Heading1"/>
      </w:pPr>
      <w:r>
        <w:rPr>
          <w:color w:val="0B6E4F"/>
          <w:sz w:val="28"/>
        </w:rPr>
        <w:t>04  Budget Summary</w:t>
      </w:r>
    </w:p>
    <w:tbl>
      <w:tblPr>
        <w:tblStyle w:val="TableGrid"/>
        <w:tblW w:type="auto" w:w="0"/>
        <w:jc w:val="left"/>
        <w:tblLook w:firstColumn="1" w:firstRow="1" w:lastColumn="0" w:lastRow="0" w:noHBand="0" w:noVBand="1" w:val="04A0"/>
      </w:tblPr>
      <w:tblGrid>
        <w:gridCol w:w="2160"/>
        <w:gridCol w:w="2160"/>
        <w:gridCol w:w="2160"/>
        <w:gridCol w:w="2160"/>
      </w:tblGrid>
      <w:tr>
        <w:tc>
          <w:tcPr>
            <w:tcW w:type="dxa" w:w="2160"/>
            <w:shd w:fill="0B6E4F"/>
          </w:tcPr>
          <w:p>
            <w:r>
              <w:rPr>
                <w:b/>
                <w:color w:val="FFFFFF"/>
              </w:rPr>
              <w:t>Category</w:t>
            </w:r>
          </w:p>
        </w:tc>
        <w:tc>
          <w:tcPr>
            <w:tcW w:type="dxa" w:w="2160"/>
            <w:shd w:fill="0B6E4F"/>
          </w:tcPr>
          <w:p>
            <w:r>
              <w:rPr>
                <w:b/>
                <w:color w:val="FFFFFF"/>
              </w:rPr>
              <w:t>Amount (USD)</w:t>
            </w:r>
          </w:p>
        </w:tc>
        <w:tc>
          <w:tcPr>
            <w:tcW w:type="dxa" w:w="2160"/>
            <w:shd w:fill="0B6E4F"/>
          </w:tcPr>
          <w:p>
            <w:r>
              <w:rPr>
                <w:b/>
                <w:color w:val="FFFFFF"/>
              </w:rPr>
              <w:t>Share</w:t>
            </w:r>
          </w:p>
        </w:tc>
        <w:tc>
          <w:tcPr>
            <w:tcW w:type="dxa" w:w="2160"/>
            <w:shd w:fill="0B6E4F"/>
          </w:tcPr>
          <w:p>
            <w:r>
              <w:rPr>
                <w:b/>
                <w:color w:val="FFFFFF"/>
              </w:rPr>
              <w:t>Source</w:t>
            </w:r>
          </w:p>
        </w:tc>
      </w:tr>
      <w:tr>
        <w:tc>
          <w:tcPr>
            <w:tcW w:type="dxa" w:w="2160"/>
          </w:tcPr>
          <w:p>
            <w:r>
              <w:rPr>
                <w:sz w:val="20"/>
              </w:rPr>
              <w:t>Visitor centre refurbishment</w:t>
            </w:r>
          </w:p>
        </w:tc>
        <w:tc>
          <w:tcPr>
            <w:tcW w:type="dxa" w:w="2160"/>
          </w:tcPr>
          <w:p>
            <w:r>
              <w:rPr>
                <w:sz w:val="20"/>
              </w:rPr>
              <w:t>$180,000</w:t>
            </w:r>
          </w:p>
        </w:tc>
        <w:tc>
          <w:tcPr>
            <w:tcW w:type="dxa" w:w="2160"/>
          </w:tcPr>
          <w:p>
            <w:r>
              <w:rPr>
                <w:sz w:val="20"/>
              </w:rPr>
              <w:t>43%</w:t>
            </w:r>
          </w:p>
        </w:tc>
        <w:tc>
          <w:tcPr>
            <w:tcW w:type="dxa" w:w="2160"/>
          </w:tcPr>
          <w:p>
            <w:r>
              <w:rPr>
                <w:sz w:val="20"/>
              </w:rPr>
              <w:t>RDF grant</w:t>
            </w:r>
          </w:p>
        </w:tc>
      </w:tr>
      <w:tr>
        <w:tc>
          <w:tcPr>
            <w:tcW w:type="dxa" w:w="2160"/>
          </w:tcPr>
          <w:p>
            <w:r>
              <w:rPr>
                <w:sz w:val="20"/>
              </w:rPr>
              <w:t>Access road paving</w:t>
            </w:r>
          </w:p>
        </w:tc>
        <w:tc>
          <w:tcPr>
            <w:tcW w:type="dxa" w:w="2160"/>
          </w:tcPr>
          <w:p>
            <w:r>
              <w:rPr>
                <w:sz w:val="20"/>
              </w:rPr>
              <w:t>$165,000</w:t>
            </w:r>
          </w:p>
        </w:tc>
        <w:tc>
          <w:tcPr>
            <w:tcW w:type="dxa" w:w="2160"/>
          </w:tcPr>
          <w:p>
            <w:r>
              <w:rPr>
                <w:sz w:val="20"/>
              </w:rPr>
              <w:t>39%</w:t>
            </w:r>
          </w:p>
        </w:tc>
        <w:tc>
          <w:tcPr>
            <w:tcW w:type="dxa" w:w="2160"/>
          </w:tcPr>
          <w:p>
            <w:r>
              <w:rPr>
                <w:sz w:val="20"/>
              </w:rPr>
              <w:t>RDF grant</w:t>
            </w:r>
          </w:p>
        </w:tc>
      </w:tr>
      <w:tr>
        <w:tc>
          <w:tcPr>
            <w:tcW w:type="dxa" w:w="2160"/>
          </w:tcPr>
          <w:p>
            <w:r>
              <w:rPr>
                <w:sz w:val="20"/>
              </w:rPr>
              <w:t>Digital signage &amp; AR trail</w:t>
            </w:r>
          </w:p>
        </w:tc>
        <w:tc>
          <w:tcPr>
            <w:tcW w:type="dxa" w:w="2160"/>
          </w:tcPr>
          <w:p>
            <w:r>
              <w:rPr>
                <w:sz w:val="20"/>
              </w:rPr>
              <w:t>$75,000</w:t>
            </w:r>
          </w:p>
        </w:tc>
        <w:tc>
          <w:tcPr>
            <w:tcW w:type="dxa" w:w="2160"/>
          </w:tcPr>
          <w:p>
            <w:r>
              <w:rPr>
                <w:sz w:val="20"/>
              </w:rPr>
              <w:t>18%</w:t>
            </w:r>
          </w:p>
        </w:tc>
        <w:tc>
          <w:tcPr>
            <w:tcW w:type="dxa" w:w="2160"/>
          </w:tcPr>
          <w:p>
            <w:r>
              <w:rPr>
                <w:sz w:val="20"/>
              </w:rPr>
              <w:t>Municipal co-financing</w:t>
            </w:r>
          </w:p>
        </w:tc>
      </w:tr>
      <w:tr>
        <w:tc>
          <w:tcPr>
            <w:tcW w:type="dxa" w:w="2160"/>
          </w:tcPr>
          <w:p>
            <w:r>
              <w:rPr>
                <w:sz w:val="20"/>
              </w:rPr>
              <w:t>Total</w:t>
            </w:r>
          </w:p>
        </w:tc>
        <w:tc>
          <w:tcPr>
            <w:tcW w:type="dxa" w:w="2160"/>
          </w:tcPr>
          <w:p>
            <w:r>
              <w:rPr>
                <w:sz w:val="20"/>
              </w:rPr>
              <w:t>$420,000</w:t>
            </w:r>
          </w:p>
        </w:tc>
        <w:tc>
          <w:tcPr>
            <w:tcW w:type="dxa" w:w="2160"/>
          </w:tcPr>
          <w:p>
            <w:r>
              <w:rPr>
                <w:sz w:val="20"/>
              </w:rPr>
              <w:t>100%</w:t>
            </w:r>
          </w:p>
        </w:tc>
        <w:tc>
          <w:tcPr>
            <w:tcW w:type="dxa" w:w="2160"/>
          </w:tcPr>
          <w:p>
            <w:r>
              <w:rPr>
                <w:sz w:val="20"/>
              </w:rPr>
            </w:r>
          </w:p>
        </w:tc>
      </w:tr>
    </w:tbl>
    <w:p/>
    <w:tbl>
      <w:tblPr>
        <w:tblStyle w:val="TableGrid"/>
        <w:tblW w:type="auto" w:w="0"/>
        <w:jc w:val="left"/>
        <w:tblLook w:firstColumn="1" w:firstRow="1" w:lastColumn="0" w:lastRow="0" w:noHBand="0" w:noVBand="1" w:val="04A0"/>
      </w:tblPr>
      <w:tblGrid>
        <w:gridCol w:w="2880"/>
        <w:gridCol w:w="2880"/>
        <w:gridCol w:w="2880"/>
      </w:tblGrid>
      <w:tr>
        <w:tc>
          <w:tcPr>
            <w:tcW w:type="dxa" w:w="2880"/>
            <w:shd w:fill="0B6E4F"/>
          </w:tcPr>
          <w:p>
            <w:r>
              <w:rPr>
                <w:b/>
                <w:color w:val="FFFFFF"/>
              </w:rPr>
              <w:t>Funding line</w:t>
            </w:r>
          </w:p>
        </w:tc>
        <w:tc>
          <w:tcPr>
            <w:tcW w:type="dxa" w:w="2880"/>
            <w:shd w:fill="0B6E4F"/>
          </w:tcPr>
          <w:p>
            <w:r>
              <w:rPr>
                <w:b/>
                <w:color w:val="FFFFFF"/>
              </w:rPr>
              <w:t>Amount</w:t>
            </w:r>
          </w:p>
        </w:tc>
        <w:tc>
          <w:tcPr>
            <w:tcW w:type="dxa" w:w="2880"/>
            <w:shd w:fill="0B6E4F"/>
          </w:tcPr>
          <w:p>
            <w:r>
              <w:rPr>
                <w:b/>
                <w:color w:val="FFFFFF"/>
              </w:rPr>
              <w:t>Status</w:t>
            </w:r>
          </w:p>
        </w:tc>
      </w:tr>
      <w:tr>
        <w:tc>
          <w:tcPr>
            <w:tcW w:type="dxa" w:w="2880"/>
          </w:tcPr>
          <w:p>
            <w:r>
              <w:rPr>
                <w:sz w:val="20"/>
              </w:rPr>
              <w:t>Total project budget</w:t>
            </w:r>
          </w:p>
        </w:tc>
        <w:tc>
          <w:tcPr>
            <w:tcW w:type="dxa" w:w="2880"/>
          </w:tcPr>
          <w:p>
            <w:r>
              <w:rPr>
                <w:sz w:val="20"/>
              </w:rPr>
              <w:t>$420,000</w:t>
            </w:r>
          </w:p>
        </w:tc>
        <w:tc>
          <w:tcPr>
            <w:tcW w:type="dxa" w:w="2880"/>
          </w:tcPr>
          <w:p>
            <w:r>
              <w:rPr>
                <w:sz w:val="20"/>
              </w:rPr>
              <w:t>Approved in LED plan</w:t>
            </w:r>
          </w:p>
        </w:tc>
      </w:tr>
      <w:tr>
        <w:tc>
          <w:tcPr>
            <w:tcW w:type="dxa" w:w="2880"/>
          </w:tcPr>
          <w:p>
            <w:r>
              <w:rPr>
                <w:sz w:val="20"/>
              </w:rPr>
              <w:t>Secured (municipal allocation)</w:t>
            </w:r>
          </w:p>
        </w:tc>
        <w:tc>
          <w:tcPr>
            <w:tcW w:type="dxa" w:w="2880"/>
          </w:tcPr>
          <w:p>
            <w:r>
              <w:rPr>
                <w:sz w:val="20"/>
              </w:rPr>
              <w:t>$75,000</w:t>
            </w:r>
          </w:p>
        </w:tc>
        <w:tc>
          <w:tcPr>
            <w:tcW w:type="dxa" w:w="2880"/>
          </w:tcPr>
          <w:p>
            <w:r>
              <w:rPr>
                <w:sz w:val="20"/>
              </w:rPr>
              <w:t>Committed FY2026</w:t>
            </w:r>
          </w:p>
        </w:tc>
      </w:tr>
      <w:tr>
        <w:tc>
          <w:tcPr>
            <w:tcW w:type="dxa" w:w="2880"/>
          </w:tcPr>
          <w:p>
            <w:r>
              <w:rPr>
                <w:sz w:val="20"/>
              </w:rPr>
              <w:t>Requested (RDF heritage window)</w:t>
            </w:r>
          </w:p>
        </w:tc>
        <w:tc>
          <w:tcPr>
            <w:tcW w:type="dxa" w:w="2880"/>
          </w:tcPr>
          <w:p>
            <w:r>
              <w:rPr>
                <w:sz w:val="20"/>
              </w:rPr>
              <w:t>$345,000</w:t>
            </w:r>
          </w:p>
        </w:tc>
        <w:tc>
          <w:tcPr>
            <w:tcW w:type="dxa" w:w="2880"/>
          </w:tcPr>
          <w:p>
            <w:r>
              <w:rPr>
                <w:sz w:val="20"/>
              </w:rPr>
              <w:t>Pending submission</w:t>
            </w:r>
          </w:p>
        </w:tc>
      </w:tr>
      <w:tr>
        <w:tc>
          <w:tcPr>
            <w:tcW w:type="dxa" w:w="2880"/>
          </w:tcPr>
          <w:p>
            <w:r>
              <w:rPr>
                <w:sz w:val="20"/>
              </w:rPr>
              <w:t>Funding gap if not awarded</w:t>
            </w:r>
          </w:p>
        </w:tc>
        <w:tc>
          <w:tcPr>
            <w:tcW w:type="dxa" w:w="2880"/>
          </w:tcPr>
          <w:p>
            <w:r>
              <w:rPr>
                <w:sz w:val="20"/>
              </w:rPr>
              <w:t>$345,000</w:t>
            </w:r>
          </w:p>
        </w:tc>
        <w:tc>
          <w:tcPr>
            <w:tcW w:type="dxa" w:w="2880"/>
          </w:tcPr>
          <w:p>
            <w:r>
              <w:rPr>
                <w:sz w:val="20"/>
              </w:rPr>
              <w:t>—</w:t>
            </w:r>
          </w:p>
        </w:tc>
      </w:tr>
    </w:tbl>
    <w:p/>
    <w:p>
      <w:r>
        <w:rPr>
          <w:b/>
          <w:color w:val="0B6E4F"/>
          <w:sz w:val="20"/>
        </w:rPr>
        <w:t xml:space="preserve">Co-financing: </w:t>
      </w:r>
      <w:r>
        <w:rPr>
          <w:sz w:val="20"/>
        </w:rPr>
        <w:t>Municipal co-financing of $75,000 (18%) covers digital heritage components and is committed in the FY2026 capital budget. RDF grant covers civil works and visitor facilities.</w:t>
      </w:r>
    </w:p>
    <w:p>
      <w:pPr>
        <w:pStyle w:val="Heading1"/>
      </w:pPr>
      <w:r>
        <w:rPr>
          <w:color w:val="0B6E4F"/>
          <w:sz w:val="28"/>
        </w:rPr>
        <w:t>05  Logical Framework</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fill="0B6E4F"/>
          </w:tcPr>
          <w:p>
            <w:r>
              <w:rPr>
                <w:b/>
                <w:color w:val="FFFFFF"/>
              </w:rPr>
              <w:t>Level</w:t>
            </w:r>
          </w:p>
        </w:tc>
        <w:tc>
          <w:tcPr>
            <w:tcW w:type="dxa" w:w="1728"/>
            <w:shd w:fill="0B6E4F"/>
          </w:tcPr>
          <w:p>
            <w:r>
              <w:rPr>
                <w:b/>
                <w:color w:val="FFFFFF"/>
              </w:rPr>
              <w:t>Description</w:t>
            </w:r>
          </w:p>
        </w:tc>
        <w:tc>
          <w:tcPr>
            <w:tcW w:type="dxa" w:w="1728"/>
            <w:shd w:fill="0B6E4F"/>
          </w:tcPr>
          <w:p>
            <w:r>
              <w:rPr>
                <w:b/>
                <w:color w:val="FFFFFF"/>
              </w:rPr>
              <w:t>Indicator</w:t>
            </w:r>
          </w:p>
        </w:tc>
        <w:tc>
          <w:tcPr>
            <w:tcW w:type="dxa" w:w="1728"/>
            <w:shd w:fill="0B6E4F"/>
          </w:tcPr>
          <w:p>
            <w:r>
              <w:rPr>
                <w:b/>
                <w:color w:val="FFFFFF"/>
              </w:rPr>
              <w:t>Verification</w:t>
            </w:r>
          </w:p>
        </w:tc>
        <w:tc>
          <w:tcPr>
            <w:tcW w:type="dxa" w:w="1728"/>
            <w:shd w:fill="0B6E4F"/>
          </w:tcPr>
          <w:p>
            <w:r>
              <w:rPr>
                <w:b/>
                <w:color w:val="FFFFFF"/>
              </w:rPr>
              <w:t>Assumptions</w:t>
            </w:r>
          </w:p>
        </w:tc>
      </w:tr>
      <w:tr>
        <w:tc>
          <w:tcPr>
            <w:tcW w:type="dxa" w:w="1728"/>
            <w:shd w:fill="0B4F39"/>
          </w:tcPr>
          <w:p>
            <w:r>
              <w:rPr>
                <w:b/>
                <w:color w:val="FFFFFF"/>
                <w:sz w:val="20"/>
              </w:rPr>
              <w:t>IMPACT</w:t>
            </w:r>
          </w:p>
        </w:tc>
        <w:tc>
          <w:tcPr>
            <w:tcW w:type="dxa" w:w="1728"/>
          </w:tcPr>
          <w:p>
            <w:r>
              <w:rPr>
                <w:sz w:val="20"/>
              </w:rPr>
              <w:t>Youth unemployment reduced; heritage assets generate year-round prosperity</w:t>
            </w:r>
          </w:p>
        </w:tc>
        <w:tc>
          <w:tcPr>
            <w:tcW w:type="dxa" w:w="1728"/>
          </w:tcPr>
          <w:p>
            <w:r>
              <w:rPr>
                <w:sz w:val="20"/>
              </w:rPr>
              <w:t>Youth unemployment rate</w:t>
            </w:r>
          </w:p>
        </w:tc>
        <w:tc>
          <w:tcPr>
            <w:tcW w:type="dxa" w:w="1728"/>
          </w:tcPr>
          <w:p>
            <w:r>
              <w:rPr>
                <w:sz w:val="20"/>
              </w:rPr>
              <w:t>Labour survey</w:t>
            </w:r>
          </w:p>
        </w:tc>
        <w:tc>
          <w:tcPr>
            <w:tcW w:type="dxa" w:w="1728"/>
          </w:tcPr>
          <w:p>
            <w:r>
              <w:rPr>
                <w:sz w:val="20"/>
              </w:rPr>
              <w:t>Macroeconomic stability; continued protection of heritage assets</w:t>
            </w:r>
          </w:p>
        </w:tc>
      </w:tr>
      <w:tr>
        <w:tc>
          <w:tcPr>
            <w:tcW w:type="dxa" w:w="1728"/>
            <w:shd w:fill="0B6E4F"/>
          </w:tcPr>
          <w:p>
            <w:r>
              <w:rPr>
                <w:b/>
                <w:color w:val="FFFFFF"/>
                <w:sz w:val="20"/>
              </w:rPr>
              <w:t>OUTCOME</w:t>
            </w:r>
          </w:p>
        </w:tc>
        <w:tc>
          <w:tcPr>
            <w:tcW w:type="dxa" w:w="1728"/>
          </w:tcPr>
          <w:p>
            <w:r>
              <w:rPr>
                <w:sz w:val="20"/>
              </w:rPr>
              <w:t>Year-round tourism employment; 150 jobs; 2,400 youth beneficiaries</w:t>
            </w:r>
          </w:p>
        </w:tc>
        <w:tc>
          <w:tcPr>
            <w:tcW w:type="dxa" w:w="1728"/>
          </w:tcPr>
          <w:p>
            <w:r>
              <w:rPr>
                <w:sz w:val="20"/>
              </w:rPr>
              <w:t>Employment / season length / youth reach</w:t>
            </w:r>
          </w:p>
        </w:tc>
        <w:tc>
          <w:tcPr>
            <w:tcW w:type="dxa" w:w="1728"/>
          </w:tcPr>
          <w:p>
            <w:r>
              <w:rPr>
                <w:sz w:val="20"/>
              </w:rPr>
              <w:t>Employer registry; tourism office; programme records</w:t>
            </w:r>
          </w:p>
        </w:tc>
        <w:tc>
          <w:tcPr>
            <w:tcW w:type="dxa" w:w="1728"/>
          </w:tcPr>
          <w:p>
            <w:r>
              <w:rPr>
                <w:sz w:val="20"/>
              </w:rPr>
              <w:t>Tourism demand holds; youth recruitment targets met through schools and outreach</w:t>
            </w:r>
          </w:p>
        </w:tc>
      </w:tr>
      <w:tr>
        <w:tc>
          <w:tcPr>
            <w:tcW w:type="dxa" w:w="1728"/>
            <w:shd w:fill="1A9E72"/>
          </w:tcPr>
          <w:p>
            <w:r>
              <w:rPr>
                <w:b/>
                <w:color w:val="FFFFFF"/>
                <w:sz w:val="20"/>
              </w:rPr>
              <w:t>OUTPUT</w:t>
            </w:r>
          </w:p>
        </w:tc>
        <w:tc>
          <w:tcPr>
            <w:tcW w:type="dxa" w:w="1728"/>
          </w:tcPr>
          <w:p>
            <w:r>
              <w:rPr>
                <w:sz w:val="20"/>
              </w:rPr>
              <w:t>3 heritage sites upgraded; 2.4 km access road complete</w:t>
            </w:r>
          </w:p>
        </w:tc>
        <w:tc>
          <w:tcPr>
            <w:tcW w:type="dxa" w:w="1728"/>
          </w:tcPr>
          <w:p>
            <w:r>
              <w:rPr>
                <w:sz w:val="20"/>
              </w:rPr>
              <w:t>Sites operational; km paved</w:t>
            </w:r>
          </w:p>
        </w:tc>
        <w:tc>
          <w:tcPr>
            <w:tcW w:type="dxa" w:w="1728"/>
          </w:tcPr>
          <w:p>
            <w:r>
              <w:rPr>
                <w:sz w:val="20"/>
              </w:rPr>
              <w:t>Site inspections; progress reports</w:t>
            </w:r>
          </w:p>
        </w:tc>
        <w:tc>
          <w:tcPr>
            <w:tcW w:type="dxa" w:w="1728"/>
          </w:tcPr>
          <w:p>
            <w:r>
              <w:rPr>
                <w:sz w:val="20"/>
              </w:rPr>
              <w:t>Contractors available; weather windows respected</w:t>
            </w:r>
          </w:p>
        </w:tc>
      </w:tr>
      <w:tr>
        <w:tc>
          <w:tcPr>
            <w:tcW w:type="dxa" w:w="1728"/>
            <w:shd w:fill="4DC5A0"/>
          </w:tcPr>
          <w:p>
            <w:r>
              <w:rPr>
                <w:b/>
                <w:color w:val="FFFFFF"/>
                <w:sz w:val="20"/>
              </w:rPr>
              <w:t>ACTIVITIES</w:t>
            </w:r>
          </w:p>
        </w:tc>
        <w:tc>
          <w:tcPr>
            <w:tcW w:type="dxa" w:w="1728"/>
          </w:tcPr>
          <w:p>
            <w:r>
              <w:rPr>
                <w:sz w:val="20"/>
              </w:rPr>
              <w:t>Construction, programming, digital trail launch, youth vendor rollout</w:t>
            </w:r>
          </w:p>
        </w:tc>
        <w:tc>
          <w:tcPr>
            <w:tcW w:type="dxa" w:w="1728"/>
          </w:tcPr>
          <w:p>
            <w:r>
              <w:rPr>
                <w:sz w:val="20"/>
              </w:rPr>
              <w:t>Milestones delivered</w:t>
            </w:r>
          </w:p>
        </w:tc>
        <w:tc>
          <w:tcPr>
            <w:tcW w:type="dxa" w:w="1728"/>
          </w:tcPr>
          <w:p>
            <w:r>
              <w:rPr>
                <w:sz w:val="20"/>
              </w:rPr>
              <w:t>Contractor &amp; municipal records</w:t>
            </w:r>
          </w:p>
        </w:tc>
        <w:tc>
          <w:tcPr>
            <w:tcW w:type="dxa" w:w="1728"/>
          </w:tcPr>
          <w:p>
            <w:r>
              <w:rPr>
                <w:sz w:val="20"/>
              </w:rPr>
              <w:t>RDF grant disbursed on schedule; municipal co-financing released</w:t>
            </w:r>
          </w:p>
        </w:tc>
      </w:tr>
    </w:tbl>
    <w:p/>
    <w:p>
      <w:pPr>
        <w:pStyle w:val="Heading1"/>
      </w:pPr>
      <w:r>
        <w:rPr>
          <w:color w:val="0B6E4F"/>
          <w:sz w:val="28"/>
        </w:rPr>
        <w:t>06  Monitoring &amp; Evaluation</w:t>
      </w:r>
    </w:p>
    <w:p>
      <w:r>
        <w:t>The M&amp;E framework tracks progress against logical-framework indicators using standardised data collection tools and quarterly reporting to municipal council and RDF.</w:t>
      </w:r>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1728"/>
            <w:shd w:fill="0B6E4F"/>
          </w:tcPr>
          <w:p>
            <w:r>
              <w:rPr>
                <w:b/>
                <w:color w:val="FFFFFF"/>
              </w:rPr>
              <w:t>Indicator</w:t>
            </w:r>
          </w:p>
        </w:tc>
        <w:tc>
          <w:tcPr>
            <w:tcW w:type="dxa" w:w="1728"/>
            <w:shd w:fill="0B6E4F"/>
          </w:tcPr>
          <w:p>
            <w:r>
              <w:rPr>
                <w:b/>
                <w:color w:val="FFFFFF"/>
              </w:rPr>
              <w:t>Baseline</w:t>
            </w:r>
          </w:p>
        </w:tc>
        <w:tc>
          <w:tcPr>
            <w:tcW w:type="dxa" w:w="1728"/>
            <w:shd w:fill="0B6E4F"/>
          </w:tcPr>
          <w:p>
            <w:r>
              <w:rPr>
                <w:b/>
                <w:color w:val="FFFFFF"/>
              </w:rPr>
              <w:t>Target</w:t>
            </w:r>
          </w:p>
        </w:tc>
        <w:tc>
          <w:tcPr>
            <w:tcW w:type="dxa" w:w="1728"/>
            <w:shd w:fill="0B6E4F"/>
          </w:tcPr>
          <w:p>
            <w:r>
              <w:rPr>
                <w:b/>
                <w:color w:val="FFFFFF"/>
              </w:rPr>
              <w:t>Frequency</w:t>
            </w:r>
          </w:p>
        </w:tc>
        <w:tc>
          <w:tcPr>
            <w:tcW w:type="dxa" w:w="1728"/>
            <w:shd w:fill="0B6E4F"/>
          </w:tcPr>
          <w:p>
            <w:r>
              <w:rPr>
                <w:b/>
                <w:color w:val="FFFFFF"/>
              </w:rPr>
              <w:t>Responsible</w:t>
            </w:r>
          </w:p>
        </w:tc>
      </w:tr>
      <w:tr>
        <w:tc>
          <w:tcPr>
            <w:tcW w:type="dxa" w:w="1728"/>
          </w:tcPr>
          <w:p>
            <w:r>
              <w:rPr>
                <w:sz w:val="20"/>
              </w:rPr>
              <w:t>Youth unemployment (18–29)</w:t>
            </w:r>
          </w:p>
        </w:tc>
        <w:tc>
          <w:tcPr>
            <w:tcW w:type="dxa" w:w="1728"/>
          </w:tcPr>
          <w:p>
            <w:r>
              <w:rPr>
                <w:sz w:val="20"/>
              </w:rPr>
              <w:t>34%</w:t>
            </w:r>
          </w:p>
        </w:tc>
        <w:tc>
          <w:tcPr>
            <w:tcW w:type="dxa" w:w="1728"/>
          </w:tcPr>
          <w:p>
            <w:r>
              <w:rPr>
                <w:sz w:val="20"/>
              </w:rPr>
              <w:t>28%</w:t>
            </w:r>
          </w:p>
        </w:tc>
        <w:tc>
          <w:tcPr>
            <w:tcW w:type="dxa" w:w="1728"/>
          </w:tcPr>
          <w:p>
            <w:r>
              <w:rPr>
                <w:sz w:val="20"/>
              </w:rPr>
              <w:t>Semi-annual</w:t>
            </w:r>
          </w:p>
        </w:tc>
        <w:tc>
          <w:tcPr>
            <w:tcW w:type="dxa" w:w="1728"/>
          </w:tcPr>
          <w:p>
            <w:r>
              <w:rPr>
                <w:sz w:val="20"/>
              </w:rPr>
              <w:t>M&amp;E Unit</w:t>
            </w:r>
          </w:p>
        </w:tc>
      </w:tr>
      <w:tr>
        <w:tc>
          <w:tcPr>
            <w:tcW w:type="dxa" w:w="1728"/>
          </w:tcPr>
          <w:p>
            <w:r>
              <w:rPr>
                <w:sz w:val="20"/>
              </w:rPr>
              <w:t>Youth programme beneficiaries</w:t>
            </w:r>
          </w:p>
        </w:tc>
        <w:tc>
          <w:tcPr>
            <w:tcW w:type="dxa" w:w="1728"/>
          </w:tcPr>
          <w:p>
            <w:r>
              <w:rPr>
                <w:sz w:val="20"/>
              </w:rPr>
              <w:t>0</w:t>
            </w:r>
          </w:p>
        </w:tc>
        <w:tc>
          <w:tcPr>
            <w:tcW w:type="dxa" w:w="1728"/>
          </w:tcPr>
          <w:p>
            <w:r>
              <w:rPr>
                <w:sz w:val="20"/>
              </w:rPr>
              <w:t>2,400</w:t>
            </w:r>
          </w:p>
        </w:tc>
        <w:tc>
          <w:tcPr>
            <w:tcW w:type="dxa" w:w="1728"/>
          </w:tcPr>
          <w:p>
            <w:r>
              <w:rPr>
                <w:sz w:val="20"/>
              </w:rPr>
              <w:t>Quarterly</w:t>
            </w:r>
          </w:p>
        </w:tc>
        <w:tc>
          <w:tcPr>
            <w:tcW w:type="dxa" w:w="1728"/>
          </w:tcPr>
          <w:p>
            <w:r>
              <w:rPr>
                <w:sz w:val="20"/>
              </w:rPr>
              <w:t>Stakeholder liaison</w:t>
            </w:r>
          </w:p>
        </w:tc>
      </w:tr>
      <w:tr>
        <w:tc>
          <w:tcPr>
            <w:tcW w:type="dxa" w:w="1728"/>
          </w:tcPr>
          <w:p>
            <w:r>
              <w:rPr>
                <w:sz w:val="20"/>
              </w:rPr>
              <w:t>Heritage visitors (annual)</w:t>
            </w:r>
          </w:p>
        </w:tc>
        <w:tc>
          <w:tcPr>
            <w:tcW w:type="dxa" w:w="1728"/>
          </w:tcPr>
          <w:p>
            <w:r>
              <w:rPr>
                <w:sz w:val="20"/>
              </w:rPr>
              <w:t>50,000</w:t>
            </w:r>
          </w:p>
        </w:tc>
        <w:tc>
          <w:tcPr>
            <w:tcW w:type="dxa" w:w="1728"/>
          </w:tcPr>
          <w:p>
            <w:r>
              <w:rPr>
                <w:sz w:val="20"/>
              </w:rPr>
              <w:t>65,000</w:t>
            </w:r>
          </w:p>
        </w:tc>
        <w:tc>
          <w:tcPr>
            <w:tcW w:type="dxa" w:w="1728"/>
          </w:tcPr>
          <w:p>
            <w:r>
              <w:rPr>
                <w:sz w:val="20"/>
              </w:rPr>
              <w:t>Quarterly</w:t>
            </w:r>
          </w:p>
        </w:tc>
        <w:tc>
          <w:tcPr>
            <w:tcW w:type="dxa" w:w="1728"/>
          </w:tcPr>
          <w:p>
            <w:r>
              <w:rPr>
                <w:sz w:val="20"/>
              </w:rPr>
              <w:t>Tourism office</w:t>
            </w:r>
          </w:p>
        </w:tc>
      </w:tr>
      <w:tr>
        <w:tc>
          <w:tcPr>
            <w:tcW w:type="dxa" w:w="1728"/>
          </w:tcPr>
          <w:p>
            <w:r>
              <w:rPr>
                <w:sz w:val="20"/>
              </w:rPr>
              <w:t>Year-round employment share</w:t>
            </w:r>
          </w:p>
        </w:tc>
        <w:tc>
          <w:tcPr>
            <w:tcW w:type="dxa" w:w="1728"/>
          </w:tcPr>
          <w:p>
            <w:r>
              <w:rPr>
                <w:sz w:val="20"/>
              </w:rPr>
              <w:t>45%</w:t>
            </w:r>
          </w:p>
        </w:tc>
        <w:tc>
          <w:tcPr>
            <w:tcW w:type="dxa" w:w="1728"/>
          </w:tcPr>
          <w:p>
            <w:r>
              <w:rPr>
                <w:sz w:val="20"/>
              </w:rPr>
              <w:t>55%</w:t>
            </w:r>
          </w:p>
        </w:tc>
        <w:tc>
          <w:tcPr>
            <w:tcW w:type="dxa" w:w="1728"/>
          </w:tcPr>
          <w:p>
            <w:r>
              <w:rPr>
                <w:sz w:val="20"/>
              </w:rPr>
              <w:t>Annual</w:t>
            </w:r>
          </w:p>
        </w:tc>
        <w:tc>
          <w:tcPr>
            <w:tcW w:type="dxa" w:w="1728"/>
          </w:tcPr>
          <w:p>
            <w:r>
              <w:rPr>
                <w:sz w:val="20"/>
              </w:rPr>
              <w:t>Economic dev. unit</w:t>
            </w:r>
          </w:p>
        </w:tc>
      </w:tr>
      <w:tr>
        <w:tc>
          <w:tcPr>
            <w:tcW w:type="dxa" w:w="1728"/>
          </w:tcPr>
          <w:p>
            <w:r>
              <w:rPr>
                <w:sz w:val="20"/>
              </w:rPr>
              <w:t>Road completion (km)</w:t>
            </w:r>
          </w:p>
        </w:tc>
        <w:tc>
          <w:tcPr>
            <w:tcW w:type="dxa" w:w="1728"/>
          </w:tcPr>
          <w:p>
            <w:r>
              <w:rPr>
                <w:sz w:val="20"/>
              </w:rPr>
              <w:t>0</w:t>
            </w:r>
          </w:p>
        </w:tc>
        <w:tc>
          <w:tcPr>
            <w:tcW w:type="dxa" w:w="1728"/>
          </w:tcPr>
          <w:p>
            <w:r>
              <w:rPr>
                <w:sz w:val="20"/>
              </w:rPr>
              <w:t>2.4</w:t>
            </w:r>
          </w:p>
        </w:tc>
        <w:tc>
          <w:tcPr>
            <w:tcW w:type="dxa" w:w="1728"/>
          </w:tcPr>
          <w:p>
            <w:r>
              <w:rPr>
                <w:sz w:val="20"/>
              </w:rPr>
              <w:t>Monthly</w:t>
            </w:r>
          </w:p>
        </w:tc>
        <w:tc>
          <w:tcPr>
            <w:tcW w:type="dxa" w:w="1728"/>
          </w:tcPr>
          <w:p>
            <w:r>
              <w:rPr>
                <w:sz w:val="20"/>
              </w:rPr>
              <w:t>Public works</w:t>
            </w:r>
          </w:p>
        </w:tc>
      </w:tr>
      <w:tr>
        <w:tc>
          <w:tcPr>
            <w:tcW w:type="dxa" w:w="1728"/>
          </w:tcPr>
          <w:p>
            <w:r>
              <w:rPr>
                <w:sz w:val="20"/>
              </w:rPr>
              <w:t>Women vendor placements</w:t>
            </w:r>
          </w:p>
        </w:tc>
        <w:tc>
          <w:tcPr>
            <w:tcW w:type="dxa" w:w="1728"/>
          </w:tcPr>
          <w:p>
            <w:r>
              <w:rPr>
                <w:sz w:val="20"/>
              </w:rPr>
              <w:t>0</w:t>
            </w:r>
          </w:p>
        </w:tc>
        <w:tc>
          <w:tcPr>
            <w:tcW w:type="dxa" w:w="1728"/>
          </w:tcPr>
          <w:p>
            <w:r>
              <w:rPr>
                <w:sz w:val="20"/>
              </w:rPr>
              <w:t>24</w:t>
            </w:r>
          </w:p>
        </w:tc>
        <w:tc>
          <w:tcPr>
            <w:tcW w:type="dxa" w:w="1728"/>
          </w:tcPr>
          <w:p>
            <w:r>
              <w:rPr>
                <w:sz w:val="20"/>
              </w:rPr>
              <w:t>Quarterly</w:t>
            </w:r>
          </w:p>
        </w:tc>
        <w:tc>
          <w:tcPr>
            <w:tcW w:type="dxa" w:w="1728"/>
          </w:tcPr>
          <w:p>
            <w:r>
              <w:rPr>
                <w:sz w:val="20"/>
              </w:rPr>
              <w:t>Stakeholder liaison</w:t>
            </w:r>
          </w:p>
        </w:tc>
      </w:tr>
    </w:tbl>
    <w:p/>
    <w:p>
      <w:pPr>
        <w:pStyle w:val="Heading2"/>
      </w:pPr>
      <w:r>
        <w:rPr>
          <w:color w:val="0B6E4F"/>
          <w:sz w:val="24"/>
        </w:rPr>
        <w:t>Evaluation milestones</w:t>
      </w:r>
    </w:p>
    <w:p>
      <w:pPr>
        <w:pStyle w:val="ListBullet"/>
      </w:pPr>
      <w:r>
        <w:t>Inception report — within 30 days of grant signature.</w:t>
      </w:r>
    </w:p>
    <w:p>
      <w:pPr>
        <w:pStyle w:val="ListBullet"/>
      </w:pPr>
      <w:r>
        <w:t>Mid-term review — Month 9 (construction progress, beneficiary outreach).</w:t>
      </w:r>
    </w:p>
    <w:p>
      <w:pPr>
        <w:pStyle w:val="ListBullet"/>
      </w:pPr>
      <w:r>
        <w:t>Final evaluation — Month 18 (impact indicators vs. baseline).</w:t>
      </w:r>
    </w:p>
    <w:p>
      <w:pPr>
        <w:pStyle w:val="Heading1"/>
      </w:pPr>
      <w:r>
        <w:rPr>
          <w:color w:val="0B6E4F"/>
          <w:sz w:val="28"/>
        </w:rPr>
        <w:t>07  Organisation &amp; Contact</w:t>
      </w:r>
    </w:p>
    <w:tbl>
      <w:tblPr>
        <w:tblStyle w:val="TableGrid"/>
        <w:tblW w:type="auto" w:w="0"/>
        <w:jc w:val="left"/>
        <w:tblLook w:firstColumn="1" w:firstRow="1" w:lastColumn="0" w:lastRow="0" w:noHBand="0" w:noVBand="1" w:val="04A0"/>
      </w:tblPr>
      <w:tblGrid>
        <w:gridCol w:w="2880"/>
        <w:gridCol w:w="2880"/>
        <w:gridCol w:w="2880"/>
      </w:tblGrid>
      <w:tr>
        <w:tc>
          <w:tcPr>
            <w:tcW w:type="dxa" w:w="2880"/>
            <w:shd w:fill="0B6E4F"/>
          </w:tcPr>
          <w:p>
            <w:r>
              <w:rPr>
                <w:b/>
                <w:color w:val="FFFFFF"/>
              </w:rPr>
              <w:t>Role</w:t>
            </w:r>
          </w:p>
        </w:tc>
        <w:tc>
          <w:tcPr>
            <w:tcW w:type="dxa" w:w="2880"/>
            <w:shd w:fill="0B6E4F"/>
          </w:tcPr>
          <w:p>
            <w:r>
              <w:rPr>
                <w:b/>
                <w:color w:val="FFFFFF"/>
              </w:rPr>
              <w:t>Office</w:t>
            </w:r>
          </w:p>
        </w:tc>
        <w:tc>
          <w:tcPr>
            <w:tcW w:type="dxa" w:w="2880"/>
            <w:shd w:fill="0B6E4F"/>
          </w:tcPr>
          <w:p>
            <w:r>
              <w:rPr>
                <w:b/>
                <w:color w:val="FFFFFF"/>
              </w:rPr>
              <w:t>Contact</w:t>
            </w:r>
          </w:p>
        </w:tc>
      </w:tr>
      <w:tr>
        <w:tc>
          <w:tcPr>
            <w:tcW w:type="dxa" w:w="2880"/>
          </w:tcPr>
          <w:p>
            <w:r>
              <w:rPr>
                <w:sz w:val="20"/>
              </w:rPr>
              <w:t>Project Director</w:t>
            </w:r>
          </w:p>
        </w:tc>
        <w:tc>
          <w:tcPr>
            <w:tcW w:type="dxa" w:w="2880"/>
          </w:tcPr>
          <w:p>
            <w:r>
              <w:rPr>
                <w:sz w:val="20"/>
              </w:rPr>
              <w:t>Mayor's Office</w:t>
            </w:r>
          </w:p>
        </w:tc>
        <w:tc>
          <w:tcPr>
            <w:tcW w:type="dxa" w:w="2880"/>
          </w:tcPr>
          <w:p>
            <w:r>
              <w:rPr>
                <w:sz w:val="20"/>
              </w:rPr>
              <w:t>mayor@cedarbay.demo</w:t>
            </w:r>
          </w:p>
        </w:tc>
      </w:tr>
      <w:tr>
        <w:tc>
          <w:tcPr>
            <w:tcW w:type="dxa" w:w="2880"/>
          </w:tcPr>
          <w:p>
            <w:r>
              <w:rPr>
                <w:sz w:val="20"/>
              </w:rPr>
              <w:t>Technical Lead</w:t>
            </w:r>
          </w:p>
        </w:tc>
        <w:tc>
          <w:tcPr>
            <w:tcW w:type="dxa" w:w="2880"/>
          </w:tcPr>
          <w:p>
            <w:r>
              <w:rPr>
                <w:sz w:val="20"/>
              </w:rPr>
              <w:t>Economic Development Unit</w:t>
            </w:r>
          </w:p>
        </w:tc>
        <w:tc>
          <w:tcPr>
            <w:tcW w:type="dxa" w:w="2880"/>
          </w:tcPr>
          <w:p>
            <w:r>
              <w:rPr>
                <w:sz w:val="20"/>
              </w:rPr>
              <w:t>led@cedarbay.demo</w:t>
            </w:r>
          </w:p>
        </w:tc>
      </w:tr>
      <w:tr>
        <w:tc>
          <w:tcPr>
            <w:tcW w:type="dxa" w:w="2880"/>
          </w:tcPr>
          <w:p>
            <w:r>
              <w:rPr>
                <w:sz w:val="20"/>
              </w:rPr>
              <w:t>Financial Controller</w:t>
            </w:r>
          </w:p>
        </w:tc>
        <w:tc>
          <w:tcPr>
            <w:tcW w:type="dxa" w:w="2880"/>
          </w:tcPr>
          <w:p>
            <w:r>
              <w:rPr>
                <w:sz w:val="20"/>
              </w:rPr>
              <w:t>Finance Department</w:t>
            </w:r>
          </w:p>
        </w:tc>
        <w:tc>
          <w:tcPr>
            <w:tcW w:type="dxa" w:w="2880"/>
          </w:tcPr>
          <w:p>
            <w:r>
              <w:rPr>
                <w:sz w:val="20"/>
              </w:rPr>
              <w:t>finance@cedarbay.demo</w:t>
            </w:r>
          </w:p>
        </w:tc>
      </w:tr>
      <w:tr>
        <w:tc>
          <w:tcPr>
            <w:tcW w:type="dxa" w:w="2880"/>
          </w:tcPr>
          <w:p>
            <w:r>
              <w:rPr>
                <w:sz w:val="20"/>
              </w:rPr>
              <w:t>M&amp;E Officer</w:t>
            </w:r>
          </w:p>
        </w:tc>
        <w:tc>
          <w:tcPr>
            <w:tcW w:type="dxa" w:w="2880"/>
          </w:tcPr>
          <w:p>
            <w:r>
              <w:rPr>
                <w:sz w:val="20"/>
              </w:rPr>
              <w:t>Planning Department</w:t>
            </w:r>
          </w:p>
        </w:tc>
        <w:tc>
          <w:tcPr>
            <w:tcW w:type="dxa" w:w="2880"/>
          </w:tcPr>
          <w:p>
            <w:r>
              <w:rPr>
                <w:sz w:val="20"/>
              </w:rPr>
              <w:t>me@cedarbay.demo</w:t>
            </w:r>
          </w:p>
        </w:tc>
      </w:tr>
      <w:tr>
        <w:tc>
          <w:tcPr>
            <w:tcW w:type="dxa" w:w="2880"/>
          </w:tcPr>
          <w:p>
            <w:r>
              <w:rPr>
                <w:sz w:val="20"/>
              </w:rPr>
              <w:t>Grant Focal Point</w:t>
            </w:r>
          </w:p>
        </w:tc>
        <w:tc>
          <w:tcPr>
            <w:tcW w:type="dxa" w:w="2880"/>
          </w:tcPr>
          <w:p>
            <w:r>
              <w:rPr>
                <w:sz w:val="20"/>
              </w:rPr>
              <w:t>Mayor's Office</w:t>
            </w:r>
          </w:p>
        </w:tc>
        <w:tc>
          <w:tcPr>
            <w:tcW w:type="dxa" w:w="2880"/>
          </w:tcPr>
          <w:p>
            <w:r>
              <w:rPr>
                <w:sz w:val="20"/>
              </w:rPr>
              <w:t>grants@cedarbay.demo</w:t>
            </w:r>
          </w:p>
        </w:tc>
      </w:tr>
    </w:tbl>
    <w:p/>
    <w:p>
      <w:pPr>
        <w:pStyle w:val="Heading2"/>
      </w:pPr>
      <w:r>
        <w:rPr>
          <w:color w:val="0B6E4F"/>
          <w:sz w:val="24"/>
        </w:rPr>
        <w:t>Implementing arrangement</w:t>
      </w:r>
    </w:p>
    <w:p>
      <w:r>
        <w:t>The Municipal LED Steering Committee (Mayor, department heads, private sector and youth representatives) provides monthly oversight. Day-to-day coordination sits with the Economic Development Unit. All procurement follows municipal transparency standards and RDF grant requirements.</w:t>
      </w:r>
    </w:p>
    <w:tbl>
      <w:tblPr>
        <w:tblStyle w:val="TableGrid"/>
        <w:tblW w:type="auto" w:w="0"/>
        <w:jc w:val="left"/>
        <w:tblLook w:firstColumn="1" w:firstRow="1" w:lastColumn="0" w:lastRow="0" w:noHBand="0" w:noVBand="1" w:val="04A0"/>
      </w:tblPr>
      <w:tblGrid>
        <w:gridCol w:w="4320"/>
        <w:gridCol w:w="4320"/>
      </w:tblGrid>
      <w:tr>
        <w:tc>
          <w:tcPr>
            <w:tcW w:type="dxa" w:w="4320"/>
            <w:shd w:fill="0B6E4F"/>
          </w:tcPr>
          <w:p>
            <w:r>
              <w:rPr>
                <w:b/>
                <w:color w:val="FFFFFF"/>
              </w:rPr>
              <w:t>Submission reference</w:t>
            </w:r>
          </w:p>
        </w:tc>
        <w:tc>
          <w:tcPr>
            <w:tcW w:type="dxa" w:w="4320"/>
            <w:shd w:fill="0B6E4F"/>
          </w:tcPr>
          <w:p>
            <w:r>
              <w:rPr>
                <w:b/>
                <w:color w:val="FFFFFF"/>
              </w:rPr>
              <w:t>Value</w:t>
            </w:r>
          </w:p>
        </w:tc>
      </w:tr>
      <w:tr>
        <w:tc>
          <w:tcPr>
            <w:tcW w:type="dxa" w:w="4320"/>
          </w:tcPr>
          <w:p>
            <w:r>
              <w:rPr>
                <w:sz w:val="20"/>
              </w:rPr>
              <w:t>Applicant</w:t>
            </w:r>
          </w:p>
        </w:tc>
        <w:tc>
          <w:tcPr>
            <w:tcW w:type="dxa" w:w="4320"/>
          </w:tcPr>
          <w:p>
            <w:r>
              <w:rPr>
                <w:sz w:val="20"/>
              </w:rPr>
              <w:t>City of Cedar Bay</w:t>
            </w:r>
          </w:p>
        </w:tc>
      </w:tr>
      <w:tr>
        <w:tc>
          <w:tcPr>
            <w:tcW w:type="dxa" w:w="4320"/>
          </w:tcPr>
          <w:p>
            <w:r>
              <w:rPr>
                <w:sz w:val="20"/>
              </w:rPr>
              <w:t>Programme</w:t>
            </w:r>
          </w:p>
        </w:tc>
        <w:tc>
          <w:tcPr>
            <w:tcW w:type="dxa" w:w="4320"/>
          </w:tcPr>
          <w:p>
            <w:r>
              <w:rPr>
                <w:sz w:val="20"/>
              </w:rPr>
              <w:t>Mediterranean Regional Development Fund — Heritage Tourism</w:t>
            </w:r>
          </w:p>
        </w:tc>
      </w:tr>
      <w:tr>
        <w:tc>
          <w:tcPr>
            <w:tcW w:type="dxa" w:w="4320"/>
          </w:tcPr>
          <w:p>
            <w:r>
              <w:rPr>
                <w:sz w:val="20"/>
              </w:rPr>
              <w:t>Document ID</w:t>
            </w:r>
          </w:p>
        </w:tc>
        <w:tc>
          <w:tcPr>
            <w:tcW w:type="dxa" w:w="4320"/>
          </w:tcPr>
          <w:p>
            <w:r>
              <w:rPr>
                <w:sz w:val="20"/>
              </w:rPr>
              <w:t>MG-CB-PR-2026-001</w:t>
            </w:r>
          </w:p>
        </w:tc>
      </w:tr>
      <w:tr>
        <w:tc>
          <w:tcPr>
            <w:tcW w:type="dxa" w:w="4320"/>
          </w:tcPr>
          <w:p>
            <w:r>
              <w:rPr>
                <w:sz w:val="20"/>
              </w:rPr>
              <w:t>Submission deadline</w:t>
            </w:r>
          </w:p>
        </w:tc>
        <w:tc>
          <w:tcPr>
            <w:tcW w:type="dxa" w:w="4320"/>
          </w:tcPr>
          <w:p>
            <w:r>
              <w:rPr>
                <w:sz w:val="20"/>
              </w:rPr>
              <w:t>15 June 2026 (23 days)</w:t>
            </w:r>
          </w:p>
        </w:tc>
      </w:tr>
      <w:tr>
        <w:tc>
          <w:tcPr>
            <w:tcW w:type="dxa" w:w="4320"/>
          </w:tcPr>
          <w:p>
            <w:r>
              <w:rPr>
                <w:sz w:val="20"/>
              </w:rPr>
              <w:t>Prepared using</w:t>
            </w:r>
          </w:p>
        </w:tc>
        <w:tc>
          <w:tcPr>
            <w:tcW w:type="dxa" w:w="4320"/>
          </w:tcPr>
          <w:p>
            <w:r>
              <w:rPr>
                <w:sz w:val="20"/>
              </w:rPr>
              <w:t>MuniGrowth LED Planning Platform</w:t>
            </w:r>
          </w:p>
        </w:tc>
      </w:tr>
    </w:tbl>
    <w:p/>
    <w:p/>
    <w:p>
      <w:r>
        <w:rPr>
          <w:color w:val="6C757D"/>
          <w:sz w:val="16"/>
        </w:rPr>
        <w:t>Illustrative sample from fictional demonstration municipality (Cedar Bay). Names, data, and content are for demonstration only.</w:t>
      </w:r>
    </w:p>
    <w:p>
      <w:r>
        <w:rPr>
          <w:color w:val="6C757D"/>
          <w:sz w:val="16"/>
        </w:rPr>
        <w:t>Generated by MuniGrowth — munigrowth.com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