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0B6E4F"/>
        </w:rPr>
        <w:t>Project Logical Framework</w:t>
      </w:r>
    </w:p>
    <w:p>
      <w:r>
        <w:rPr>
          <w:color w:val="6C757D"/>
          <w:sz w:val="22"/>
        </w:rPr>
        <w:t>Digital Skills Training Center · $180K</w:t>
      </w:r>
    </w:p>
    <w:p>
      <w:pPr>
        <w:pStyle w:val="Heading1"/>
      </w:pPr>
      <w:r>
        <w:rPr>
          <w:color w:val="0B6E4F"/>
        </w:rPr>
        <w:t>Impact (5 years)</w:t>
      </w:r>
    </w:p>
    <w:p>
      <w:pPr>
        <w:pStyle w:val="ListBullet"/>
      </w:pPr>
      <w:r>
        <w:t>Youth unemployment reduced from 34% to 22% in Cedar Bay.</w:t>
      </w:r>
    </w:p>
    <w:p>
      <w:pPr>
        <w:pStyle w:val="Heading1"/>
      </w:pPr>
      <w:r>
        <w:rPr>
          <w:color w:val="0B6E4F"/>
        </w:rPr>
        <w:t>Outcome (2 years)</w:t>
      </w:r>
    </w:p>
    <w:p>
      <w:pPr>
        <w:pStyle w:val="ListBullet"/>
      </w:pPr>
      <w:r>
        <w:t>220 of 300 graduates employed in digital economy roles locally or remotely.</w:t>
      </w:r>
    </w:p>
    <w:p>
      <w:pPr>
        <w:pStyle w:val="Heading1"/>
      </w:pPr>
      <w:r>
        <w:rPr>
          <w:color w:val="0B6E4F"/>
        </w:rPr>
        <w:t>Output (project end)</w:t>
      </w:r>
    </w:p>
    <w:p>
      <w:pPr>
        <w:pStyle w:val="ListBullet"/>
      </w:pPr>
      <w:r>
        <w:t>300 youth (18–29) complete 6-month certified training.</w:t>
      </w:r>
    </w:p>
    <w:p>
      <w:pPr>
        <w:pStyle w:val="ListBullet"/>
      </w:pPr>
      <w:r>
        <w:t>12 employer placement agreements signed before course start.</w:t>
      </w:r>
    </w:p>
    <w:p>
      <w:pPr>
        <w:pStyle w:val="Heading1"/>
      </w:pPr>
      <w:r>
        <w:rPr>
          <w:color w:val="0B6E4F"/>
        </w:rPr>
        <w:t>Key activities</w:t>
      </w:r>
    </w:p>
    <w:p>
      <w:pPr>
        <w:pStyle w:val="ListBullet"/>
      </w:pPr>
      <w:r>
        <w:t>Q1: Facility setup + curriculum</w:t>
      </w:r>
    </w:p>
    <w:p>
      <w:pPr>
        <w:pStyle w:val="ListBullet"/>
      </w:pPr>
      <w:r>
        <w:t>Q2–Q3: Training cohorts 1 &amp; 2</w:t>
      </w:r>
    </w:p>
    <w:p>
      <w:pPr>
        <w:pStyle w:val="ListBullet"/>
      </w:pPr>
      <w:r>
        <w:t>Q4: Job placement + evaluation</w:t>
      </w:r>
    </w:p>
    <w:p>
      <w:pPr>
        <w:pStyle w:val="Heading1"/>
      </w:pPr>
      <w:r>
        <w:rPr>
          <w:color w:val="0B6E4F"/>
        </w:rPr>
        <w:t>Budget breakdown</w:t>
      </w:r>
    </w:p>
    <w:p>
      <w:pPr>
        <w:pStyle w:val="ListBullet"/>
      </w:pPr>
      <w:r>
        <w:t>Training delivery: $98,000 (54%)</w:t>
      </w:r>
    </w:p>
    <w:p>
      <w:pPr>
        <w:pStyle w:val="ListBullet"/>
      </w:pPr>
      <w:r>
        <w:t>Equipment: $42,000 (23%)</w:t>
      </w:r>
    </w:p>
    <w:p>
      <w:pPr>
        <w:pStyle w:val="ListBullet"/>
      </w:pPr>
      <w:r>
        <w:t>Personnel: $28,000 (16%)</w:t>
      </w:r>
    </w:p>
    <w:p>
      <w:pPr>
        <w:pStyle w:val="ListBullet"/>
      </w:pPr>
      <w:r>
        <w:t>M&amp;E: $12,000 (7%)</w:t>
      </w:r>
    </w:p>
    <w:p/>
    <w:p>
      <w:r>
        <w:rPr>
          <w:color w:val="6C757D"/>
          <w:sz w:val="16"/>
        </w:rPr>
        <w:t>Illustrative sample generated from a fictional demonstration municipality ("Cedar Bay"). Names, data, and content are for demonstration only.</w:t>
      </w:r>
    </w:p>
    <w:p>
      <w:r>
        <w:rPr>
          <w:color w:val="6C757D"/>
          <w:sz w:val="16"/>
        </w:rPr>
        <w:t>Generated by MuniGrowth — munigrowth.com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