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MuniGrowth Data Processing Agreement</w:t>
      </w:r>
    </w:p>
    <w:p>
      <w:pPr>
        <w:pStyle w:val="Heading1"/>
      </w:pPr>
      <w:r>
        <w:t>1. Parties</w:t>
      </w:r>
    </w:p>
    <w:p>
      <w:r>
        <w:t>Controller: The municipality or organization identified in the order form.</w:t>
        <w:br/>
        <w:t>Processor: MuniGrowth (contact@munigrowth.com).</w:t>
      </w:r>
    </w:p>
    <w:p>
      <w:pPr>
        <w:pStyle w:val="Heading1"/>
      </w:pPr>
      <w:r>
        <w:t>2. Subject Matter and Duration</w:t>
      </w:r>
    </w:p>
    <w:p>
      <w:r>
        <w:t>Processor processes personal data on behalf of Controller to provide the MuniGrowth platform for the subscription term and up to 90 days thereafter for export and secure deletion.</w:t>
      </w:r>
    </w:p>
    <w:p>
      <w:pPr>
        <w:pStyle w:val="Heading1"/>
      </w:pPr>
      <w:r>
        <w:t>3. Categories of Data</w:t>
      </w:r>
    </w:p>
    <w:p>
      <w:r>
        <w:t>Personal data of municipal officials and authorized users; LED plans; projects; grant materials; usage logs; AI interaction history.</w:t>
      </w:r>
    </w:p>
    <w:p>
      <w:pPr>
        <w:pStyle w:val="Heading1"/>
      </w:pPr>
      <w:r>
        <w:t>4. Processor Obligations</w:t>
      </w:r>
    </w:p>
    <w:p>
      <w:pPr>
        <w:pStyle w:val="ListBullet"/>
      </w:pPr>
      <w:r>
        <w:t>Process only on documented instructions from Controller.</w:t>
      </w:r>
    </w:p>
    <w:p>
      <w:pPr>
        <w:pStyle w:val="ListBullet"/>
      </w:pPr>
      <w:r>
        <w:t>Maintain confidentiality and appropriate security measures.</w:t>
      </w:r>
    </w:p>
    <w:p>
      <w:pPr>
        <w:pStyle w:val="ListBullet"/>
      </w:pPr>
      <w:r>
        <w:t>Assist with data subject requests and breach notification.</w:t>
      </w:r>
    </w:p>
    <w:p>
      <w:pPr>
        <w:pStyle w:val="ListBullet"/>
      </w:pPr>
      <w:r>
        <w:t>Delete or return data upon termination subject to legal retention.</w:t>
      </w:r>
    </w:p>
    <w:p>
      <w:pPr>
        <w:pStyle w:val="ListBullet"/>
      </w:pPr>
      <w:r>
        <w:t>Allow reasonable audits with advance notice.</w:t>
      </w:r>
    </w:p>
    <w:p>
      <w:pPr>
        <w:pStyle w:val="Heading1"/>
      </w:pPr>
      <w:r>
        <w:t>5. Sub-processors</w:t>
      </w:r>
    </w:p>
    <w:p>
      <w:r>
        <w:t>Authorized sub-processors include OpenRouter (AI routing), Dodo Payments, Sentry, and infrastructure hosting. LibreTranslate is self-hosted.</w:t>
      </w:r>
    </w:p>
    <w:p>
      <w:pPr>
        <w:pStyle w:val="Heading1"/>
      </w:pPr>
      <w:r>
        <w:t>6. International Transfers</w:t>
      </w:r>
    </w:p>
    <w:p>
      <w:r>
        <w:t>Transfers outside the EEA rely on Standard Contractual Clauses or other lawful mechanisms as agreed with legal counsel.</w:t>
      </w:r>
    </w:p>
    <w:p>
      <w:pPr>
        <w:pStyle w:val="Heading1"/>
      </w:pPr>
      <w:r>
        <w:t>7. Signatures</w:t>
      </w:r>
    </w:p>
    <w:p>
      <w:r>
        <w:t>Controller: _________________________  Date: __________</w:t>
      </w:r>
    </w:p>
    <w:p>
      <w:r>
        <w:t>Processor (MuniGrowth): ______________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